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autoSpaceDE w:val="0"/>
        <w:autoSpaceDN w:val="0"/>
        <w:adjustRightInd w:val="0"/>
        <w:rPr>
          <w:rFonts w:cs="Arial"/>
          <w:color w:val="000000"/>
          <w:sz w:val="24"/>
          <w:szCs w:val="24"/>
          <w:lang w:eastAsia="de-DE"/>
        </w:rPr>
      </w:pPr>
    </w:p>
    <w:p>
      <w:pPr>
        <w:shd w:val="clear" w:color="auto" w:fill="FFFFFF"/>
        <w:tabs>
          <w:tab w:val="right" w:pos="9638"/>
        </w:tabs>
        <w:spacing w:before="2000" w:line="276" w:lineRule="auto"/>
        <w:jc w:val="center"/>
        <w:rPr>
          <w:rFonts w:cs="Arial"/>
          <w:b/>
          <w:bCs/>
          <w:color w:val="000000"/>
          <w:sz w:val="32"/>
          <w:szCs w:val="32"/>
          <w:lang w:eastAsia="de-DE"/>
        </w:rPr>
      </w:pPr>
      <w:r>
        <w:rPr>
          <w:rFonts w:cs="Arial"/>
          <w:color w:val="000000"/>
          <w:sz w:val="24"/>
          <w:szCs w:val="24"/>
          <w:lang w:eastAsia="de-DE"/>
        </w:rPr>
        <w:t xml:space="preserve"> </w:t>
      </w:r>
      <w:r>
        <w:rPr>
          <w:rFonts w:cs="Arial"/>
          <w:b/>
          <w:bCs/>
          <w:color w:val="000000"/>
          <w:sz w:val="36"/>
          <w:szCs w:val="36"/>
          <w:lang w:eastAsia="de-DE"/>
        </w:rPr>
        <w:t xml:space="preserve">Lizenzen HCL Notes </w:t>
      </w:r>
      <w:r>
        <w:rPr>
          <w:rFonts w:cs="Arial"/>
          <w:b/>
          <w:bCs/>
          <w:color w:val="000000"/>
          <w:sz w:val="36"/>
          <w:szCs w:val="36"/>
          <w:lang w:eastAsia="de-DE"/>
        </w:rPr>
        <w:br/>
      </w:r>
      <w:r>
        <w:rPr>
          <w:rFonts w:cs="Arial"/>
          <w:b/>
          <w:bCs/>
          <w:color w:val="000000"/>
          <w:sz w:val="32"/>
          <w:szCs w:val="32"/>
          <w:lang w:eastAsia="de-DE"/>
        </w:rPr>
        <w:t>HCL Domino Support Renewal – Subscription und Support</w:t>
      </w:r>
    </w:p>
    <w:p>
      <w:pPr>
        <w:shd w:val="clear" w:color="auto" w:fill="FFFFFF"/>
        <w:tabs>
          <w:tab w:val="right" w:pos="9638"/>
        </w:tabs>
        <w:spacing w:before="2000" w:line="276" w:lineRule="auto"/>
        <w:jc w:val="center"/>
        <w:rPr>
          <w:rFonts w:cs="Arial"/>
          <w:b/>
          <w:bCs/>
          <w:color w:val="000000"/>
          <w:sz w:val="32"/>
          <w:szCs w:val="32"/>
          <w:lang w:eastAsia="de-DE"/>
        </w:rPr>
      </w:pPr>
    </w:p>
    <w:p>
      <w:pPr>
        <w:shd w:val="clear" w:color="auto" w:fill="FFFFFF"/>
        <w:tabs>
          <w:tab w:val="right" w:pos="9638"/>
        </w:tabs>
        <w:spacing w:before="2000" w:line="276" w:lineRule="auto"/>
        <w:jc w:val="center"/>
        <w:rPr>
          <w:b/>
          <w:bCs/>
          <w:color w:val="000000"/>
          <w:spacing w:val="-3"/>
          <w:sz w:val="36"/>
          <w:szCs w:val="36"/>
          <w:highlight w:val="yellow"/>
        </w:rPr>
      </w:pPr>
      <w:r>
        <w:rPr>
          <w:rFonts w:cs="Arial"/>
          <w:b/>
          <w:bCs/>
          <w:color w:val="000000"/>
          <w:sz w:val="32"/>
          <w:szCs w:val="32"/>
          <w:lang w:eastAsia="de-DE"/>
        </w:rPr>
        <w:t>2026 / 247</w:t>
      </w:r>
    </w:p>
    <w:p>
      <w:pPr>
        <w:shd w:val="clear" w:color="auto" w:fill="FFFFFF"/>
        <w:tabs>
          <w:tab w:val="left" w:pos="1843"/>
        </w:tabs>
        <w:spacing w:before="1397" w:line="360" w:lineRule="auto"/>
        <w:ind w:right="10"/>
        <w:jc w:val="center"/>
        <w:rPr>
          <w:b/>
          <w:bCs/>
          <w:color w:val="000000"/>
          <w:spacing w:val="-3"/>
          <w:sz w:val="36"/>
          <w:szCs w:val="36"/>
        </w:rPr>
      </w:pPr>
      <w:r>
        <w:rPr>
          <w:noProof/>
          <w:lang w:eastAsia="de-DE"/>
        </w:rPr>
        <mc:AlternateContent>
          <mc:Choice Requires="wps">
            <w:drawing>
              <wp:anchor distT="0" distB="0" distL="114300" distR="114300" simplePos="0" relativeHeight="251659264" behindDoc="0" locked="0" layoutInCell="0" allowOverlap="1">
                <wp:simplePos x="0" y="0"/>
                <wp:positionH relativeFrom="column">
                  <wp:posOffset>13155</wp:posOffset>
                </wp:positionH>
                <wp:positionV relativeFrom="paragraph">
                  <wp:posOffset>307795</wp:posOffset>
                </wp:positionV>
                <wp:extent cx="6107502" cy="0"/>
                <wp:effectExtent l="0" t="0" r="26670" b="19050"/>
                <wp:wrapNone/>
                <wp:docPr id="5" name="Gerade Verbindung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7502"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Gerade Verbindung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24.25pt" to="481.95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" o:allowincell="f" strokecolor="black [3040]"/>
            </w:pict>
          </mc:Fallback>
        </mc:AlternateContent>
      </w:r>
      <w:r>
        <w:rPr>
          <w:b/>
          <w:bCs/>
          <w:color w:val="000000"/>
          <w:spacing w:val="-3"/>
          <w:sz w:val="36"/>
          <w:szCs w:val="36"/>
        </w:rPr>
        <w:t xml:space="preserve">Vergabe- und Vertragsunterlagen </w:t>
      </w:r>
    </w:p>
    <w:p>
      <w:pPr>
        <w:shd w:val="clear" w:color="auto" w:fill="FFFFFF"/>
        <w:tabs>
          <w:tab w:val="left" w:pos="1843"/>
        </w:tabs>
        <w:spacing w:before="1397" w:line="276" w:lineRule="auto"/>
        <w:ind w:right="10"/>
        <w:jc w:val="right"/>
        <w:rPr>
          <w:highlight w:val="yellow"/>
        </w:rPr>
      </w:pPr>
    </w:p>
    <w:p>
      <w:pPr>
        <w:tabs>
          <w:tab w:val="left" w:pos="1843"/>
        </w:tabs>
        <w:spacing w:line="276" w:lineRule="auto"/>
        <w:rPr>
          <w:b/>
          <w:sz w:val="28"/>
          <w:szCs w:val="28"/>
          <w:highlight w:val="yellow"/>
        </w:rPr>
      </w:pPr>
    </w:p>
    <w:p>
      <w:pPr>
        <w:tabs>
          <w:tab w:val="left" w:pos="1843"/>
        </w:tabs>
        <w:spacing w:line="276" w:lineRule="auto"/>
        <w:jc w:val="center"/>
        <w:rPr>
          <w:b/>
          <w:sz w:val="28"/>
          <w:szCs w:val="28"/>
        </w:rPr>
      </w:pPr>
      <w:r>
        <w:rPr>
          <w:b/>
          <w:sz w:val="28"/>
          <w:szCs w:val="28"/>
          <w:highlight w:val="yellow"/>
        </w:rPr>
        <w:br w:type="page"/>
      </w:r>
      <w:r>
        <w:rPr>
          <w:b/>
          <w:sz w:val="28"/>
          <w:szCs w:val="28"/>
        </w:rPr>
        <w:lastRenderedPageBreak/>
        <w:t>Inhaltsverzeichnis</w:t>
      </w:r>
    </w:p>
    <w:p>
      <w:pPr>
        <w:tabs>
          <w:tab w:val="left" w:pos="1843"/>
        </w:tabs>
        <w:spacing w:after="120" w:line="276" w:lineRule="auto"/>
        <w:ind w:left="1134"/>
        <w:rPr>
          <w:rFonts w:cs="Arial"/>
          <w:bCs/>
          <w:highlight w:val="yellow"/>
        </w:rPr>
      </w:pPr>
    </w:p>
    <w:bookmarkStart w:id="0" w:name="_Toc53817964"/>
    <w:p>
      <w:pPr>
        <w:pStyle w:val="Verzeichnis1"/>
        <w:rPr>
          <w:rFonts w:asciiTheme="minorHAnsi" w:eastAsiaTheme="minorEastAsia" w:hAnsiTheme="minorHAnsi" w:cstheme="minorBidi"/>
          <w:b w:val="0"/>
          <w:sz w:val="22"/>
          <w:szCs w:val="22"/>
          <w:lang w:eastAsia="de-DE"/>
        </w:rPr>
      </w:pPr>
      <w:r>
        <w:rPr>
          <w:rFonts w:cs="Arial"/>
          <w:bCs/>
          <w:highlight w:val="yellow"/>
        </w:rPr>
        <w:fldChar w:fldCharType="begin"/>
      </w:r>
      <w:r>
        <w:rPr>
          <w:rFonts w:cs="Arial"/>
          <w:bCs/>
          <w:highlight w:val="yellow"/>
        </w:rPr>
        <w:instrText xml:space="preserve"> TOC \o "1-5" \h \z \u </w:instrText>
      </w:r>
      <w:r>
        <w:rPr>
          <w:rFonts w:cs="Arial"/>
          <w:bCs/>
          <w:highlight w:val="yellow"/>
        </w:rPr>
        <w:fldChar w:fldCharType="separate"/>
      </w:r>
      <w:hyperlink w:anchor="_Toc238039252" w:history="1">
        <w:r>
          <w:rPr>
            <w:rStyle w:val="Hyperlink"/>
            <w:rFonts w:cs="Arial"/>
            <w:bCs/>
          </w:rPr>
          <w:t>1</w:t>
        </w:r>
        <w:r>
          <w:rPr>
            <w:rFonts w:asciiTheme="minorHAnsi" w:eastAsiaTheme="minorEastAsia" w:hAnsiTheme="minorHAnsi" w:cstheme="minorBidi"/>
            <w:b w:val="0"/>
            <w:sz w:val="22"/>
            <w:szCs w:val="22"/>
            <w:lang w:eastAsia="de-DE"/>
          </w:rPr>
          <w:tab/>
        </w:r>
        <w:r>
          <w:rPr>
            <w:rStyle w:val="Hyperlink"/>
            <w:rFonts w:cs="Arial"/>
            <w:bCs/>
          </w:rPr>
          <w:t>Einführung und Zielsetzung</w:t>
        </w:r>
        <w:r>
          <w:rPr>
            <w:webHidden/>
          </w:rPr>
          <w:tab/>
        </w:r>
        <w:r>
          <w:rPr>
            <w:webHidden/>
          </w:rPr>
          <w:fldChar w:fldCharType="begin"/>
        </w:r>
        <w:r>
          <w:rPr>
            <w:webHidden/>
          </w:rPr>
          <w:instrText xml:space="preserve"> PAGEREF _Toc238039252 \h </w:instrText>
        </w:r>
        <w:r>
          <w:rPr>
            <w:webHidden/>
          </w:rPr>
        </w:r>
        <w:r>
          <w:rPr>
            <w:webHidden/>
          </w:rPr>
          <w:fldChar w:fldCharType="separate"/>
        </w:r>
        <w:r>
          <w:rPr>
            <w:webHidden/>
          </w:rPr>
          <w:t>4</w:t>
        </w:r>
        <w:r>
          <w:rPr>
            <w:webHidden/>
          </w:rPr>
          <w:fldChar w:fldCharType="end"/>
        </w:r>
      </w:hyperlink>
    </w:p>
    <w:p>
      <w:pPr>
        <w:pStyle w:val="Verzeichnis1"/>
        <w:rPr>
          <w:rFonts w:asciiTheme="minorHAnsi" w:eastAsiaTheme="minorEastAsia" w:hAnsiTheme="minorHAnsi" w:cstheme="minorBidi"/>
          <w:b w:val="0"/>
          <w:sz w:val="22"/>
          <w:szCs w:val="22"/>
          <w:lang w:eastAsia="de-DE"/>
        </w:rPr>
      </w:pPr>
      <w:hyperlink w:anchor="_Toc238039253" w:history="1">
        <w:r>
          <w:rPr>
            <w:rStyle w:val="Hyperlink"/>
            <w:rFonts w:cs="Arial"/>
          </w:rPr>
          <w:t>2</w:t>
        </w:r>
        <w:r>
          <w:rPr>
            <w:rFonts w:asciiTheme="minorHAnsi" w:eastAsiaTheme="minorEastAsia" w:hAnsiTheme="minorHAnsi" w:cstheme="minorBidi"/>
            <w:b w:val="0"/>
            <w:sz w:val="22"/>
            <w:szCs w:val="22"/>
            <w:lang w:eastAsia="de-DE"/>
          </w:rPr>
          <w:tab/>
        </w:r>
        <w:r>
          <w:rPr>
            <w:rStyle w:val="Hyperlink"/>
            <w:rFonts w:cs="Arial"/>
          </w:rPr>
          <w:t>Verfahrensgrundlagen</w:t>
        </w:r>
        <w:r>
          <w:rPr>
            <w:webHidden/>
          </w:rPr>
          <w:tab/>
        </w:r>
        <w:r>
          <w:rPr>
            <w:webHidden/>
          </w:rPr>
          <w:fldChar w:fldCharType="begin"/>
        </w:r>
        <w:r>
          <w:rPr>
            <w:webHidden/>
          </w:rPr>
          <w:instrText xml:space="preserve"> PAGEREF _Toc238039253 \h </w:instrText>
        </w:r>
        <w:r>
          <w:rPr>
            <w:webHidden/>
          </w:rPr>
        </w:r>
        <w:r>
          <w:rPr>
            <w:webHidden/>
          </w:rPr>
          <w:fldChar w:fldCharType="separate"/>
        </w:r>
        <w:r>
          <w:rPr>
            <w:webHidden/>
          </w:rPr>
          <w:t>5</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54" w:history="1">
        <w:r>
          <w:rPr>
            <w:rStyle w:val="Hyperlink"/>
            <w14:scene3d>
              <w14:camera w14:prst="orthographicFront"/>
              <w14:lightRig w14:rig="threePt" w14:dir="t">
                <w14:rot w14:lat="0" w14:lon="0" w14:rev="0"/>
              </w14:lightRig>
            </w14:scene3d>
          </w:rPr>
          <w:t>2.1</w:t>
        </w:r>
        <w:r>
          <w:rPr>
            <w:rFonts w:asciiTheme="minorHAnsi" w:eastAsiaTheme="minorEastAsia" w:hAnsiTheme="minorHAnsi" w:cstheme="minorBidi"/>
            <w:b w:val="0"/>
            <w:sz w:val="22"/>
            <w:szCs w:val="22"/>
            <w:lang w:eastAsia="de-DE"/>
          </w:rPr>
          <w:tab/>
        </w:r>
        <w:r>
          <w:rPr>
            <w:rStyle w:val="Hyperlink"/>
          </w:rPr>
          <w:t>Verfahrensart</w:t>
        </w:r>
        <w:r>
          <w:rPr>
            <w:webHidden/>
          </w:rPr>
          <w:tab/>
        </w:r>
        <w:r>
          <w:rPr>
            <w:webHidden/>
          </w:rPr>
          <w:fldChar w:fldCharType="begin"/>
        </w:r>
        <w:r>
          <w:rPr>
            <w:webHidden/>
          </w:rPr>
          <w:instrText xml:space="preserve"> PAGEREF _Toc238039254 \h </w:instrText>
        </w:r>
        <w:r>
          <w:rPr>
            <w:webHidden/>
          </w:rPr>
        </w:r>
        <w:r>
          <w:rPr>
            <w:webHidden/>
          </w:rPr>
          <w:fldChar w:fldCharType="separate"/>
        </w:r>
        <w:r>
          <w:rPr>
            <w:webHidden/>
          </w:rPr>
          <w:t>5</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55" w:history="1">
        <w:r>
          <w:rPr>
            <w:rStyle w:val="Hyperlink"/>
            <w14:scene3d>
              <w14:camera w14:prst="orthographicFront"/>
              <w14:lightRig w14:rig="threePt" w14:dir="t">
                <w14:rot w14:lat="0" w14:lon="0" w14:rev="0"/>
              </w14:lightRig>
            </w14:scene3d>
          </w:rPr>
          <w:t>2.2</w:t>
        </w:r>
        <w:r>
          <w:rPr>
            <w:rFonts w:asciiTheme="minorHAnsi" w:eastAsiaTheme="minorEastAsia" w:hAnsiTheme="minorHAnsi" w:cstheme="minorBidi"/>
            <w:b w:val="0"/>
            <w:sz w:val="22"/>
            <w:szCs w:val="22"/>
            <w:lang w:eastAsia="de-DE"/>
          </w:rPr>
          <w:tab/>
        </w:r>
        <w:r>
          <w:rPr>
            <w:rStyle w:val="Hyperlink"/>
          </w:rPr>
          <w:t>Zuständige Stelle für behauptete Vergabeverstöße</w:t>
        </w:r>
        <w:r>
          <w:rPr>
            <w:webHidden/>
          </w:rPr>
          <w:tab/>
        </w:r>
        <w:r>
          <w:rPr>
            <w:webHidden/>
          </w:rPr>
          <w:fldChar w:fldCharType="begin"/>
        </w:r>
        <w:r>
          <w:rPr>
            <w:webHidden/>
          </w:rPr>
          <w:instrText xml:space="preserve"> PAGEREF _Toc238039255 \h </w:instrText>
        </w:r>
        <w:r>
          <w:rPr>
            <w:webHidden/>
          </w:rPr>
        </w:r>
        <w:r>
          <w:rPr>
            <w:webHidden/>
          </w:rPr>
          <w:fldChar w:fldCharType="separate"/>
        </w:r>
        <w:r>
          <w:rPr>
            <w:webHidden/>
          </w:rPr>
          <w:t>5</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56" w:history="1">
        <w:r>
          <w:rPr>
            <w:rStyle w:val="Hyperlink"/>
            <w14:scene3d>
              <w14:camera w14:prst="orthographicFront"/>
              <w14:lightRig w14:rig="threePt" w14:dir="t">
                <w14:rot w14:lat="0" w14:lon="0" w14:rev="0"/>
              </w14:lightRig>
            </w14:scene3d>
          </w:rPr>
          <w:t>2.3</w:t>
        </w:r>
        <w:r>
          <w:rPr>
            <w:rFonts w:asciiTheme="minorHAnsi" w:eastAsiaTheme="minorEastAsia" w:hAnsiTheme="minorHAnsi" w:cstheme="minorBidi"/>
            <w:b w:val="0"/>
            <w:sz w:val="22"/>
            <w:szCs w:val="22"/>
            <w:lang w:eastAsia="de-DE"/>
          </w:rPr>
          <w:tab/>
        </w:r>
        <w:r>
          <w:rPr>
            <w:rStyle w:val="Hyperlink"/>
            <w:rFonts w:cs="Arial"/>
          </w:rPr>
          <w:t>Terminplan</w:t>
        </w:r>
        <w:r>
          <w:rPr>
            <w:webHidden/>
          </w:rPr>
          <w:tab/>
        </w:r>
        <w:r>
          <w:rPr>
            <w:webHidden/>
          </w:rPr>
          <w:fldChar w:fldCharType="begin"/>
        </w:r>
        <w:r>
          <w:rPr>
            <w:webHidden/>
          </w:rPr>
          <w:instrText xml:space="preserve"> PAGEREF _Toc238039256 \h </w:instrText>
        </w:r>
        <w:r>
          <w:rPr>
            <w:webHidden/>
          </w:rPr>
        </w:r>
        <w:r>
          <w:rPr>
            <w:webHidden/>
          </w:rPr>
          <w:fldChar w:fldCharType="separate"/>
        </w:r>
        <w:r>
          <w:rPr>
            <w:webHidden/>
          </w:rPr>
          <w:t>5</w:t>
        </w:r>
        <w:r>
          <w:rPr>
            <w:webHidden/>
          </w:rPr>
          <w:fldChar w:fldCharType="end"/>
        </w:r>
      </w:hyperlink>
    </w:p>
    <w:p>
      <w:pPr>
        <w:pStyle w:val="Verzeichnis3"/>
        <w:rPr>
          <w:rFonts w:asciiTheme="minorHAnsi" w:eastAsiaTheme="minorEastAsia" w:hAnsiTheme="minorHAnsi" w:cstheme="minorBidi"/>
          <w:b w:val="0"/>
          <w:sz w:val="22"/>
          <w:szCs w:val="22"/>
          <w:lang w:eastAsia="de-DE"/>
        </w:rPr>
      </w:pPr>
      <w:hyperlink w:anchor="_Toc238039257" w:history="1">
        <w:r>
          <w:rPr>
            <w:rStyle w:val="Hyperlink"/>
            <w:rFonts w:cs="Arial"/>
          </w:rPr>
          <w:t>2.3.1</w:t>
        </w:r>
        <w:r>
          <w:rPr>
            <w:rFonts w:asciiTheme="minorHAnsi" w:eastAsiaTheme="minorEastAsia" w:hAnsiTheme="minorHAnsi" w:cstheme="minorBidi"/>
            <w:b w:val="0"/>
            <w:sz w:val="22"/>
            <w:szCs w:val="22"/>
            <w:lang w:eastAsia="de-DE"/>
          </w:rPr>
          <w:tab/>
        </w:r>
        <w:r>
          <w:rPr>
            <w:rStyle w:val="Hyperlink"/>
            <w:rFonts w:cs="Arial"/>
          </w:rPr>
          <w:t>Frist für das Stellen von Fragen zum Vergabeverfahren</w:t>
        </w:r>
        <w:r>
          <w:rPr>
            <w:webHidden/>
          </w:rPr>
          <w:tab/>
        </w:r>
        <w:r>
          <w:rPr>
            <w:webHidden/>
          </w:rPr>
          <w:fldChar w:fldCharType="begin"/>
        </w:r>
        <w:r>
          <w:rPr>
            <w:webHidden/>
          </w:rPr>
          <w:instrText xml:space="preserve"> PAGEREF _Toc238039257 \h </w:instrText>
        </w:r>
        <w:r>
          <w:rPr>
            <w:webHidden/>
          </w:rPr>
        </w:r>
        <w:r>
          <w:rPr>
            <w:webHidden/>
          </w:rPr>
          <w:fldChar w:fldCharType="separate"/>
        </w:r>
        <w:r>
          <w:rPr>
            <w:webHidden/>
          </w:rPr>
          <w:t>5</w:t>
        </w:r>
        <w:r>
          <w:rPr>
            <w:webHidden/>
          </w:rPr>
          <w:fldChar w:fldCharType="end"/>
        </w:r>
      </w:hyperlink>
    </w:p>
    <w:p>
      <w:pPr>
        <w:pStyle w:val="Verzeichnis3"/>
        <w:rPr>
          <w:rFonts w:asciiTheme="minorHAnsi" w:eastAsiaTheme="minorEastAsia" w:hAnsiTheme="minorHAnsi" w:cstheme="minorBidi"/>
          <w:b w:val="0"/>
          <w:sz w:val="22"/>
          <w:szCs w:val="22"/>
          <w:lang w:eastAsia="de-DE"/>
        </w:rPr>
      </w:pPr>
      <w:hyperlink w:anchor="_Toc238039258" w:history="1">
        <w:r>
          <w:rPr>
            <w:rStyle w:val="Hyperlink"/>
            <w:rFonts w:cs="Arial"/>
          </w:rPr>
          <w:t>2.3.2</w:t>
        </w:r>
        <w:r>
          <w:rPr>
            <w:rFonts w:asciiTheme="minorHAnsi" w:eastAsiaTheme="minorEastAsia" w:hAnsiTheme="minorHAnsi" w:cstheme="minorBidi"/>
            <w:b w:val="0"/>
            <w:sz w:val="22"/>
            <w:szCs w:val="22"/>
            <w:lang w:eastAsia="de-DE"/>
          </w:rPr>
          <w:tab/>
        </w:r>
        <w:r>
          <w:rPr>
            <w:rStyle w:val="Hyperlink"/>
            <w:rFonts w:cs="Arial"/>
          </w:rPr>
          <w:t>Frist zur Abgabe der Angebote</w:t>
        </w:r>
        <w:r>
          <w:rPr>
            <w:webHidden/>
          </w:rPr>
          <w:tab/>
        </w:r>
        <w:r>
          <w:rPr>
            <w:webHidden/>
          </w:rPr>
          <w:fldChar w:fldCharType="begin"/>
        </w:r>
        <w:r>
          <w:rPr>
            <w:webHidden/>
          </w:rPr>
          <w:instrText xml:space="preserve"> PAGEREF _Toc238039258 \h </w:instrText>
        </w:r>
        <w:r>
          <w:rPr>
            <w:webHidden/>
          </w:rPr>
        </w:r>
        <w:r>
          <w:rPr>
            <w:webHidden/>
          </w:rPr>
          <w:fldChar w:fldCharType="separate"/>
        </w:r>
        <w:r>
          <w:rPr>
            <w:webHidden/>
          </w:rPr>
          <w:t>6</w:t>
        </w:r>
        <w:r>
          <w:rPr>
            <w:webHidden/>
          </w:rPr>
          <w:fldChar w:fldCharType="end"/>
        </w:r>
      </w:hyperlink>
    </w:p>
    <w:p>
      <w:pPr>
        <w:pStyle w:val="Verzeichnis3"/>
        <w:rPr>
          <w:rFonts w:asciiTheme="minorHAnsi" w:eastAsiaTheme="minorEastAsia" w:hAnsiTheme="minorHAnsi" w:cstheme="minorBidi"/>
          <w:b w:val="0"/>
          <w:sz w:val="22"/>
          <w:szCs w:val="22"/>
          <w:lang w:eastAsia="de-DE"/>
        </w:rPr>
      </w:pPr>
      <w:hyperlink w:anchor="_Toc238039259" w:history="1">
        <w:r>
          <w:rPr>
            <w:rStyle w:val="Hyperlink"/>
            <w:rFonts w:cs="Arial"/>
          </w:rPr>
          <w:t>2.3.3</w:t>
        </w:r>
        <w:r>
          <w:rPr>
            <w:rFonts w:asciiTheme="minorHAnsi" w:eastAsiaTheme="minorEastAsia" w:hAnsiTheme="minorHAnsi" w:cstheme="minorBidi"/>
            <w:b w:val="0"/>
            <w:sz w:val="22"/>
            <w:szCs w:val="22"/>
            <w:lang w:eastAsia="de-DE"/>
          </w:rPr>
          <w:tab/>
        </w:r>
        <w:r>
          <w:rPr>
            <w:rStyle w:val="Hyperlink"/>
            <w:rFonts w:cs="Arial"/>
          </w:rPr>
          <w:t>Bindefrist und Zuschlagserteilung</w:t>
        </w:r>
        <w:r>
          <w:rPr>
            <w:webHidden/>
          </w:rPr>
          <w:tab/>
        </w:r>
        <w:r>
          <w:rPr>
            <w:webHidden/>
          </w:rPr>
          <w:fldChar w:fldCharType="begin"/>
        </w:r>
        <w:r>
          <w:rPr>
            <w:webHidden/>
          </w:rPr>
          <w:instrText xml:space="preserve"> PAGEREF _Toc238039259 \h </w:instrText>
        </w:r>
        <w:r>
          <w:rPr>
            <w:webHidden/>
          </w:rPr>
        </w:r>
        <w:r>
          <w:rPr>
            <w:webHidden/>
          </w:rPr>
          <w:fldChar w:fldCharType="separate"/>
        </w:r>
        <w:r>
          <w:rPr>
            <w:webHidden/>
          </w:rPr>
          <w:t>6</w:t>
        </w:r>
        <w:r>
          <w:rPr>
            <w:webHidden/>
          </w:rPr>
          <w:fldChar w:fldCharType="end"/>
        </w:r>
      </w:hyperlink>
    </w:p>
    <w:p>
      <w:pPr>
        <w:pStyle w:val="Verzeichnis1"/>
        <w:rPr>
          <w:rFonts w:asciiTheme="minorHAnsi" w:eastAsiaTheme="minorEastAsia" w:hAnsiTheme="minorHAnsi" w:cstheme="minorBidi"/>
          <w:b w:val="0"/>
          <w:sz w:val="22"/>
          <w:szCs w:val="22"/>
          <w:lang w:eastAsia="de-DE"/>
        </w:rPr>
      </w:pPr>
      <w:hyperlink w:anchor="_Toc238039260" w:history="1">
        <w:r>
          <w:rPr>
            <w:rStyle w:val="Hyperlink"/>
            <w:rFonts w:cs="Arial"/>
          </w:rPr>
          <w:t>3</w:t>
        </w:r>
        <w:r>
          <w:rPr>
            <w:rFonts w:asciiTheme="minorHAnsi" w:eastAsiaTheme="minorEastAsia" w:hAnsiTheme="minorHAnsi" w:cstheme="minorBidi"/>
            <w:b w:val="0"/>
            <w:sz w:val="22"/>
            <w:szCs w:val="22"/>
            <w:lang w:eastAsia="de-DE"/>
          </w:rPr>
          <w:tab/>
        </w:r>
        <w:r>
          <w:rPr>
            <w:rStyle w:val="Hyperlink"/>
            <w:rFonts w:cs="Arial"/>
          </w:rPr>
          <w:t>Ausschreibungsbestimmungen</w:t>
        </w:r>
        <w:r>
          <w:rPr>
            <w:webHidden/>
          </w:rPr>
          <w:tab/>
        </w:r>
        <w:r>
          <w:rPr>
            <w:webHidden/>
          </w:rPr>
          <w:fldChar w:fldCharType="begin"/>
        </w:r>
        <w:r>
          <w:rPr>
            <w:webHidden/>
          </w:rPr>
          <w:instrText xml:space="preserve"> PAGEREF _Toc238039260 \h </w:instrText>
        </w:r>
        <w:r>
          <w:rPr>
            <w:webHidden/>
          </w:rPr>
        </w:r>
        <w:r>
          <w:rPr>
            <w:webHidden/>
          </w:rPr>
          <w:fldChar w:fldCharType="separate"/>
        </w:r>
        <w:r>
          <w:rPr>
            <w:webHidden/>
          </w:rPr>
          <w:t>7</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61" w:history="1">
        <w:r>
          <w:rPr>
            <w:rStyle w:val="Hyperlink"/>
            <w14:scene3d>
              <w14:camera w14:prst="orthographicFront"/>
              <w14:lightRig w14:rig="threePt" w14:dir="t">
                <w14:rot w14:lat="0" w14:lon="0" w14:rev="0"/>
              </w14:lightRig>
            </w14:scene3d>
          </w:rPr>
          <w:t>3.1</w:t>
        </w:r>
        <w:r>
          <w:rPr>
            <w:rFonts w:asciiTheme="minorHAnsi" w:eastAsiaTheme="minorEastAsia" w:hAnsiTheme="minorHAnsi" w:cstheme="minorBidi"/>
            <w:b w:val="0"/>
            <w:sz w:val="22"/>
            <w:szCs w:val="22"/>
            <w:lang w:eastAsia="de-DE"/>
          </w:rPr>
          <w:tab/>
        </w:r>
        <w:r>
          <w:rPr>
            <w:rStyle w:val="Hyperlink"/>
          </w:rPr>
          <w:t>Informationen zur ausschreibenden Stelle</w:t>
        </w:r>
        <w:r>
          <w:rPr>
            <w:webHidden/>
          </w:rPr>
          <w:tab/>
        </w:r>
        <w:r>
          <w:rPr>
            <w:webHidden/>
          </w:rPr>
          <w:fldChar w:fldCharType="begin"/>
        </w:r>
        <w:r>
          <w:rPr>
            <w:webHidden/>
          </w:rPr>
          <w:instrText xml:space="preserve"> PAGEREF _Toc238039261 \h </w:instrText>
        </w:r>
        <w:r>
          <w:rPr>
            <w:webHidden/>
          </w:rPr>
        </w:r>
        <w:r>
          <w:rPr>
            <w:webHidden/>
          </w:rPr>
          <w:fldChar w:fldCharType="separate"/>
        </w:r>
        <w:r>
          <w:rPr>
            <w:webHidden/>
          </w:rPr>
          <w:t>7</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62" w:history="1">
        <w:r>
          <w:rPr>
            <w:rStyle w:val="Hyperlink"/>
            <w14:scene3d>
              <w14:camera w14:prst="orthographicFront"/>
              <w14:lightRig w14:rig="threePt" w14:dir="t">
                <w14:rot w14:lat="0" w14:lon="0" w14:rev="0"/>
              </w14:lightRig>
            </w14:scene3d>
          </w:rPr>
          <w:t>3.2</w:t>
        </w:r>
        <w:r>
          <w:rPr>
            <w:rFonts w:asciiTheme="minorHAnsi" w:eastAsiaTheme="minorEastAsia" w:hAnsiTheme="minorHAnsi" w:cstheme="minorBidi"/>
            <w:b w:val="0"/>
            <w:sz w:val="22"/>
            <w:szCs w:val="22"/>
            <w:lang w:eastAsia="de-DE"/>
          </w:rPr>
          <w:tab/>
        </w:r>
        <w:r>
          <w:rPr>
            <w:rStyle w:val="Hyperlink"/>
          </w:rPr>
          <w:t>Einreichung, Inhalt und Aufbau der Angebote</w:t>
        </w:r>
        <w:r>
          <w:rPr>
            <w:webHidden/>
          </w:rPr>
          <w:tab/>
        </w:r>
        <w:r>
          <w:rPr>
            <w:webHidden/>
          </w:rPr>
          <w:fldChar w:fldCharType="begin"/>
        </w:r>
        <w:r>
          <w:rPr>
            <w:webHidden/>
          </w:rPr>
          <w:instrText xml:space="preserve"> PAGEREF _Toc238039262 \h </w:instrText>
        </w:r>
        <w:r>
          <w:rPr>
            <w:webHidden/>
          </w:rPr>
        </w:r>
        <w:r>
          <w:rPr>
            <w:webHidden/>
          </w:rPr>
          <w:fldChar w:fldCharType="separate"/>
        </w:r>
        <w:r>
          <w:rPr>
            <w:webHidden/>
          </w:rPr>
          <w:t>7</w:t>
        </w:r>
        <w:r>
          <w:rPr>
            <w:webHidden/>
          </w:rPr>
          <w:fldChar w:fldCharType="end"/>
        </w:r>
      </w:hyperlink>
    </w:p>
    <w:p>
      <w:pPr>
        <w:pStyle w:val="Verzeichnis3"/>
        <w:rPr>
          <w:rFonts w:asciiTheme="minorHAnsi" w:eastAsiaTheme="minorEastAsia" w:hAnsiTheme="minorHAnsi" w:cstheme="minorBidi"/>
          <w:b w:val="0"/>
          <w:sz w:val="22"/>
          <w:szCs w:val="22"/>
          <w:lang w:eastAsia="de-DE"/>
        </w:rPr>
      </w:pPr>
      <w:hyperlink w:anchor="_Toc238039263" w:history="1">
        <w:r>
          <w:rPr>
            <w:rStyle w:val="Hyperlink"/>
            <w:rFonts w:cs="Arial"/>
          </w:rPr>
          <w:t>3.2.1</w:t>
        </w:r>
        <w:r>
          <w:rPr>
            <w:rFonts w:asciiTheme="minorHAnsi" w:eastAsiaTheme="minorEastAsia" w:hAnsiTheme="minorHAnsi" w:cstheme="minorBidi"/>
            <w:b w:val="0"/>
            <w:sz w:val="22"/>
            <w:szCs w:val="22"/>
            <w:lang w:eastAsia="de-DE"/>
          </w:rPr>
          <w:tab/>
        </w:r>
        <w:r>
          <w:rPr>
            <w:rStyle w:val="Hyperlink"/>
            <w:rFonts w:cs="Arial"/>
          </w:rPr>
          <w:t>Einreichung der Angebote</w:t>
        </w:r>
        <w:r>
          <w:rPr>
            <w:webHidden/>
          </w:rPr>
          <w:tab/>
        </w:r>
        <w:r>
          <w:rPr>
            <w:webHidden/>
          </w:rPr>
          <w:fldChar w:fldCharType="begin"/>
        </w:r>
        <w:r>
          <w:rPr>
            <w:webHidden/>
          </w:rPr>
          <w:instrText xml:space="preserve"> PAGEREF _Toc238039263 \h </w:instrText>
        </w:r>
        <w:r>
          <w:rPr>
            <w:webHidden/>
          </w:rPr>
        </w:r>
        <w:r>
          <w:rPr>
            <w:webHidden/>
          </w:rPr>
          <w:fldChar w:fldCharType="separate"/>
        </w:r>
        <w:r>
          <w:rPr>
            <w:webHidden/>
          </w:rPr>
          <w:t>7</w:t>
        </w:r>
        <w:r>
          <w:rPr>
            <w:webHidden/>
          </w:rPr>
          <w:fldChar w:fldCharType="end"/>
        </w:r>
      </w:hyperlink>
    </w:p>
    <w:p>
      <w:pPr>
        <w:pStyle w:val="Verzeichnis3"/>
        <w:rPr>
          <w:rFonts w:asciiTheme="minorHAnsi" w:eastAsiaTheme="minorEastAsia" w:hAnsiTheme="minorHAnsi" w:cstheme="minorBidi"/>
          <w:b w:val="0"/>
          <w:sz w:val="22"/>
          <w:szCs w:val="22"/>
          <w:lang w:eastAsia="de-DE"/>
        </w:rPr>
      </w:pPr>
      <w:hyperlink w:anchor="_Toc238039264" w:history="1">
        <w:r>
          <w:rPr>
            <w:rStyle w:val="Hyperlink"/>
            <w:rFonts w:cs="Arial"/>
          </w:rPr>
          <w:t>3.2.2</w:t>
        </w:r>
        <w:r>
          <w:rPr>
            <w:rFonts w:asciiTheme="minorHAnsi" w:eastAsiaTheme="minorEastAsia" w:hAnsiTheme="minorHAnsi" w:cstheme="minorBidi"/>
            <w:b w:val="0"/>
            <w:sz w:val="22"/>
            <w:szCs w:val="22"/>
            <w:lang w:eastAsia="de-DE"/>
          </w:rPr>
          <w:tab/>
        </w:r>
        <w:r>
          <w:rPr>
            <w:rStyle w:val="Hyperlink"/>
            <w:rFonts w:cs="Arial"/>
          </w:rPr>
          <w:t>Inhalt und Aufbau des Angebotes</w:t>
        </w:r>
        <w:r>
          <w:rPr>
            <w:webHidden/>
          </w:rPr>
          <w:tab/>
        </w:r>
        <w:r>
          <w:rPr>
            <w:webHidden/>
          </w:rPr>
          <w:fldChar w:fldCharType="begin"/>
        </w:r>
        <w:r>
          <w:rPr>
            <w:webHidden/>
          </w:rPr>
          <w:instrText xml:space="preserve"> PAGEREF _Toc238039264 \h </w:instrText>
        </w:r>
        <w:r>
          <w:rPr>
            <w:webHidden/>
          </w:rPr>
        </w:r>
        <w:r>
          <w:rPr>
            <w:webHidden/>
          </w:rPr>
          <w:fldChar w:fldCharType="separate"/>
        </w:r>
        <w:r>
          <w:rPr>
            <w:webHidden/>
          </w:rPr>
          <w:t>7</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65" w:history="1">
        <w:r>
          <w:rPr>
            <w:rStyle w:val="Hyperlink"/>
            <w14:scene3d>
              <w14:camera w14:prst="orthographicFront"/>
              <w14:lightRig w14:rig="threePt" w14:dir="t">
                <w14:rot w14:lat="0" w14:lon="0" w14:rev="0"/>
              </w14:lightRig>
            </w14:scene3d>
          </w:rPr>
          <w:t>3.3</w:t>
        </w:r>
        <w:r>
          <w:rPr>
            <w:rFonts w:asciiTheme="minorHAnsi" w:eastAsiaTheme="minorEastAsia" w:hAnsiTheme="minorHAnsi" w:cstheme="minorBidi"/>
            <w:b w:val="0"/>
            <w:sz w:val="22"/>
            <w:szCs w:val="22"/>
            <w:lang w:eastAsia="de-DE"/>
          </w:rPr>
          <w:tab/>
        </w:r>
        <w:r>
          <w:rPr>
            <w:rStyle w:val="Hyperlink"/>
          </w:rPr>
          <w:t>Nebenangebote</w:t>
        </w:r>
        <w:r>
          <w:rPr>
            <w:webHidden/>
          </w:rPr>
          <w:tab/>
        </w:r>
        <w:r>
          <w:rPr>
            <w:webHidden/>
          </w:rPr>
          <w:fldChar w:fldCharType="begin"/>
        </w:r>
        <w:r>
          <w:rPr>
            <w:webHidden/>
          </w:rPr>
          <w:instrText xml:space="preserve"> PAGEREF _Toc238039265 \h </w:instrText>
        </w:r>
        <w:r>
          <w:rPr>
            <w:webHidden/>
          </w:rPr>
        </w:r>
        <w:r>
          <w:rPr>
            <w:webHidden/>
          </w:rPr>
          <w:fldChar w:fldCharType="separate"/>
        </w:r>
        <w:r>
          <w:rPr>
            <w:webHidden/>
          </w:rPr>
          <w:t>10</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66" w:history="1">
        <w:r>
          <w:rPr>
            <w:rStyle w:val="Hyperlink"/>
            <w14:scene3d>
              <w14:camera w14:prst="orthographicFront"/>
              <w14:lightRig w14:rig="threePt" w14:dir="t">
                <w14:rot w14:lat="0" w14:lon="0" w14:rev="0"/>
              </w14:lightRig>
            </w14:scene3d>
          </w:rPr>
          <w:t>3.4</w:t>
        </w:r>
        <w:r>
          <w:rPr>
            <w:rFonts w:asciiTheme="minorHAnsi" w:eastAsiaTheme="minorEastAsia" w:hAnsiTheme="minorHAnsi" w:cstheme="minorBidi"/>
            <w:b w:val="0"/>
            <w:sz w:val="22"/>
            <w:szCs w:val="22"/>
            <w:lang w:eastAsia="de-DE"/>
          </w:rPr>
          <w:tab/>
        </w:r>
        <w:r>
          <w:rPr>
            <w:rStyle w:val="Hyperlink"/>
          </w:rPr>
          <w:t>Losbildung</w:t>
        </w:r>
        <w:r>
          <w:rPr>
            <w:webHidden/>
          </w:rPr>
          <w:tab/>
        </w:r>
        <w:r>
          <w:rPr>
            <w:webHidden/>
          </w:rPr>
          <w:fldChar w:fldCharType="begin"/>
        </w:r>
        <w:r>
          <w:rPr>
            <w:webHidden/>
          </w:rPr>
          <w:instrText xml:space="preserve"> PAGEREF _Toc238039266 \h </w:instrText>
        </w:r>
        <w:r>
          <w:rPr>
            <w:webHidden/>
          </w:rPr>
        </w:r>
        <w:r>
          <w:rPr>
            <w:webHidden/>
          </w:rPr>
          <w:fldChar w:fldCharType="separate"/>
        </w:r>
        <w:r>
          <w:rPr>
            <w:webHidden/>
          </w:rPr>
          <w:t>10</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67" w:history="1">
        <w:r>
          <w:rPr>
            <w:rStyle w:val="Hyperlink"/>
            <w14:scene3d>
              <w14:camera w14:prst="orthographicFront"/>
              <w14:lightRig w14:rig="threePt" w14:dir="t">
                <w14:rot w14:lat="0" w14:lon="0" w14:rev="0"/>
              </w14:lightRig>
            </w14:scene3d>
          </w:rPr>
          <w:t>3.5</w:t>
        </w:r>
        <w:r>
          <w:rPr>
            <w:rFonts w:asciiTheme="minorHAnsi" w:eastAsiaTheme="minorEastAsia" w:hAnsiTheme="minorHAnsi" w:cstheme="minorBidi"/>
            <w:b w:val="0"/>
            <w:sz w:val="22"/>
            <w:szCs w:val="22"/>
            <w:lang w:eastAsia="de-DE"/>
          </w:rPr>
          <w:tab/>
        </w:r>
        <w:r>
          <w:rPr>
            <w:rStyle w:val="Hyperlink"/>
          </w:rPr>
          <w:t>Nichtberücksichtigung des Angebotes</w:t>
        </w:r>
        <w:r>
          <w:rPr>
            <w:webHidden/>
          </w:rPr>
          <w:tab/>
        </w:r>
        <w:r>
          <w:rPr>
            <w:webHidden/>
          </w:rPr>
          <w:fldChar w:fldCharType="begin"/>
        </w:r>
        <w:r>
          <w:rPr>
            <w:webHidden/>
          </w:rPr>
          <w:instrText xml:space="preserve"> PAGEREF _Toc238039267 \h </w:instrText>
        </w:r>
        <w:r>
          <w:rPr>
            <w:webHidden/>
          </w:rPr>
        </w:r>
        <w:r>
          <w:rPr>
            <w:webHidden/>
          </w:rPr>
          <w:fldChar w:fldCharType="separate"/>
        </w:r>
        <w:r>
          <w:rPr>
            <w:webHidden/>
          </w:rPr>
          <w:t>10</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68" w:history="1">
        <w:r>
          <w:rPr>
            <w:rStyle w:val="Hyperlink"/>
            <w14:scene3d>
              <w14:camera w14:prst="orthographicFront"/>
              <w14:lightRig w14:rig="threePt" w14:dir="t">
                <w14:rot w14:lat="0" w14:lon="0" w14:rev="0"/>
              </w14:lightRig>
            </w14:scene3d>
          </w:rPr>
          <w:t>3.6</w:t>
        </w:r>
        <w:r>
          <w:rPr>
            <w:rFonts w:asciiTheme="minorHAnsi" w:eastAsiaTheme="minorEastAsia" w:hAnsiTheme="minorHAnsi" w:cstheme="minorBidi"/>
            <w:b w:val="0"/>
            <w:sz w:val="22"/>
            <w:szCs w:val="22"/>
            <w:lang w:eastAsia="de-DE"/>
          </w:rPr>
          <w:tab/>
        </w:r>
        <w:r>
          <w:rPr>
            <w:rStyle w:val="Hyperlink"/>
          </w:rPr>
          <w:t>Änderungen, Berichtigungen und Rücknahme der Angebote</w:t>
        </w:r>
        <w:r>
          <w:rPr>
            <w:webHidden/>
          </w:rPr>
          <w:tab/>
        </w:r>
        <w:r>
          <w:rPr>
            <w:webHidden/>
          </w:rPr>
          <w:fldChar w:fldCharType="begin"/>
        </w:r>
        <w:r>
          <w:rPr>
            <w:webHidden/>
          </w:rPr>
          <w:instrText xml:space="preserve"> PAGEREF _Toc238039268 \h </w:instrText>
        </w:r>
        <w:r>
          <w:rPr>
            <w:webHidden/>
          </w:rPr>
        </w:r>
        <w:r>
          <w:rPr>
            <w:webHidden/>
          </w:rPr>
          <w:fldChar w:fldCharType="separate"/>
        </w:r>
        <w:r>
          <w:rPr>
            <w:webHidden/>
          </w:rPr>
          <w:t>10</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69" w:history="1">
        <w:r>
          <w:rPr>
            <w:rStyle w:val="Hyperlink"/>
            <w14:scene3d>
              <w14:camera w14:prst="orthographicFront"/>
              <w14:lightRig w14:rig="threePt" w14:dir="t">
                <w14:rot w14:lat="0" w14:lon="0" w14:rev="0"/>
              </w14:lightRig>
            </w14:scene3d>
          </w:rPr>
          <w:t>3.7</w:t>
        </w:r>
        <w:r>
          <w:rPr>
            <w:rFonts w:asciiTheme="minorHAnsi" w:eastAsiaTheme="minorEastAsia" w:hAnsiTheme="minorHAnsi" w:cstheme="minorBidi"/>
            <w:b w:val="0"/>
            <w:sz w:val="22"/>
            <w:szCs w:val="22"/>
            <w:lang w:eastAsia="de-DE"/>
          </w:rPr>
          <w:tab/>
        </w:r>
        <w:r>
          <w:rPr>
            <w:rStyle w:val="Hyperlink"/>
            <w:rFonts w:cs="Arial"/>
          </w:rPr>
          <w:t>Nachfordern von Erklärungen und Nachweisen</w:t>
        </w:r>
        <w:r>
          <w:rPr>
            <w:webHidden/>
          </w:rPr>
          <w:tab/>
        </w:r>
        <w:r>
          <w:rPr>
            <w:webHidden/>
          </w:rPr>
          <w:fldChar w:fldCharType="begin"/>
        </w:r>
        <w:r>
          <w:rPr>
            <w:webHidden/>
          </w:rPr>
          <w:instrText xml:space="preserve"> PAGEREF _Toc238039269 \h </w:instrText>
        </w:r>
        <w:r>
          <w:rPr>
            <w:webHidden/>
          </w:rPr>
        </w:r>
        <w:r>
          <w:rPr>
            <w:webHidden/>
          </w:rPr>
          <w:fldChar w:fldCharType="separate"/>
        </w:r>
        <w:r>
          <w:rPr>
            <w:webHidden/>
          </w:rPr>
          <w:t>10</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70" w:history="1">
        <w:r>
          <w:rPr>
            <w:rStyle w:val="Hyperlink"/>
            <w14:scene3d>
              <w14:camera w14:prst="orthographicFront"/>
              <w14:lightRig w14:rig="threePt" w14:dir="t">
                <w14:rot w14:lat="0" w14:lon="0" w14:rev="0"/>
              </w14:lightRig>
            </w14:scene3d>
          </w:rPr>
          <w:t>3.8</w:t>
        </w:r>
        <w:r>
          <w:rPr>
            <w:rFonts w:asciiTheme="minorHAnsi" w:eastAsiaTheme="minorEastAsia" w:hAnsiTheme="minorHAnsi" w:cstheme="minorBidi"/>
            <w:b w:val="0"/>
            <w:sz w:val="22"/>
            <w:szCs w:val="22"/>
            <w:lang w:eastAsia="de-DE"/>
          </w:rPr>
          <w:tab/>
        </w:r>
        <w:r>
          <w:rPr>
            <w:rStyle w:val="Hyperlink"/>
          </w:rPr>
          <w:t>Vergütung/Kostenerstattung im gesamten Vergabeverfahren</w:t>
        </w:r>
        <w:r>
          <w:rPr>
            <w:webHidden/>
          </w:rPr>
          <w:tab/>
        </w:r>
        <w:r>
          <w:rPr>
            <w:webHidden/>
          </w:rPr>
          <w:fldChar w:fldCharType="begin"/>
        </w:r>
        <w:r>
          <w:rPr>
            <w:webHidden/>
          </w:rPr>
          <w:instrText xml:space="preserve"> PAGEREF _Toc238039270 \h </w:instrText>
        </w:r>
        <w:r>
          <w:rPr>
            <w:webHidden/>
          </w:rPr>
        </w:r>
        <w:r>
          <w:rPr>
            <w:webHidden/>
          </w:rPr>
          <w:fldChar w:fldCharType="separate"/>
        </w:r>
        <w:r>
          <w:rPr>
            <w:webHidden/>
          </w:rPr>
          <w:t>11</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71" w:history="1">
        <w:r>
          <w:rPr>
            <w:rStyle w:val="Hyperlink"/>
            <w14:scene3d>
              <w14:camera w14:prst="orthographicFront"/>
              <w14:lightRig w14:rig="threePt" w14:dir="t">
                <w14:rot w14:lat="0" w14:lon="0" w14:rev="0"/>
              </w14:lightRig>
            </w14:scene3d>
          </w:rPr>
          <w:t>3.9</w:t>
        </w:r>
        <w:r>
          <w:rPr>
            <w:rFonts w:asciiTheme="minorHAnsi" w:eastAsiaTheme="minorEastAsia" w:hAnsiTheme="minorHAnsi" w:cstheme="minorBidi"/>
            <w:b w:val="0"/>
            <w:sz w:val="22"/>
            <w:szCs w:val="22"/>
            <w:lang w:eastAsia="de-DE"/>
          </w:rPr>
          <w:tab/>
        </w:r>
        <w:r>
          <w:rPr>
            <w:rStyle w:val="Hyperlink"/>
          </w:rPr>
          <w:t>Verwendung der Unterlagen</w:t>
        </w:r>
        <w:r>
          <w:rPr>
            <w:webHidden/>
          </w:rPr>
          <w:tab/>
        </w:r>
        <w:r>
          <w:rPr>
            <w:webHidden/>
          </w:rPr>
          <w:fldChar w:fldCharType="begin"/>
        </w:r>
        <w:r>
          <w:rPr>
            <w:webHidden/>
          </w:rPr>
          <w:instrText xml:space="preserve"> PAGEREF _Toc238039271 \h </w:instrText>
        </w:r>
        <w:r>
          <w:rPr>
            <w:webHidden/>
          </w:rPr>
        </w:r>
        <w:r>
          <w:rPr>
            <w:webHidden/>
          </w:rPr>
          <w:fldChar w:fldCharType="separate"/>
        </w:r>
        <w:r>
          <w:rPr>
            <w:webHidden/>
          </w:rPr>
          <w:t>11</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72" w:history="1">
        <w:r>
          <w:rPr>
            <w:rStyle w:val="Hyperlink"/>
            <w14:scene3d>
              <w14:camera w14:prst="orthographicFront"/>
              <w14:lightRig w14:rig="threePt" w14:dir="t">
                <w14:rot w14:lat="0" w14:lon="0" w14:rev="0"/>
              </w14:lightRig>
            </w14:scene3d>
          </w:rPr>
          <w:t>3.10</w:t>
        </w:r>
        <w:r>
          <w:rPr>
            <w:rFonts w:asciiTheme="minorHAnsi" w:eastAsiaTheme="minorEastAsia" w:hAnsiTheme="minorHAnsi" w:cstheme="minorBidi"/>
            <w:b w:val="0"/>
            <w:sz w:val="22"/>
            <w:szCs w:val="22"/>
            <w:lang w:eastAsia="de-DE"/>
          </w:rPr>
          <w:tab/>
        </w:r>
        <w:r>
          <w:rPr>
            <w:rStyle w:val="Hyperlink"/>
          </w:rPr>
          <w:t>Rückgabe der Unterlagen</w:t>
        </w:r>
        <w:r>
          <w:rPr>
            <w:webHidden/>
          </w:rPr>
          <w:tab/>
        </w:r>
        <w:r>
          <w:rPr>
            <w:webHidden/>
          </w:rPr>
          <w:fldChar w:fldCharType="begin"/>
        </w:r>
        <w:r>
          <w:rPr>
            <w:webHidden/>
          </w:rPr>
          <w:instrText xml:space="preserve"> PAGEREF _Toc238039272 \h </w:instrText>
        </w:r>
        <w:r>
          <w:rPr>
            <w:webHidden/>
          </w:rPr>
        </w:r>
        <w:r>
          <w:rPr>
            <w:webHidden/>
          </w:rPr>
          <w:fldChar w:fldCharType="separate"/>
        </w:r>
        <w:r>
          <w:rPr>
            <w:webHidden/>
          </w:rPr>
          <w:t>11</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73" w:history="1">
        <w:r>
          <w:rPr>
            <w:rStyle w:val="Hyperlink"/>
            <w14:scene3d>
              <w14:camera w14:prst="orthographicFront"/>
              <w14:lightRig w14:rig="threePt" w14:dir="t">
                <w14:rot w14:lat="0" w14:lon="0" w14:rev="0"/>
              </w14:lightRig>
            </w14:scene3d>
          </w:rPr>
          <w:t>3.11</w:t>
        </w:r>
        <w:r>
          <w:rPr>
            <w:rFonts w:asciiTheme="minorHAnsi" w:eastAsiaTheme="minorEastAsia" w:hAnsiTheme="minorHAnsi" w:cstheme="minorBidi"/>
            <w:b w:val="0"/>
            <w:sz w:val="22"/>
            <w:szCs w:val="22"/>
            <w:lang w:eastAsia="de-DE"/>
          </w:rPr>
          <w:tab/>
        </w:r>
        <w:r>
          <w:rPr>
            <w:rStyle w:val="Hyperlink"/>
          </w:rPr>
          <w:t>Bietergemeinschaften</w:t>
        </w:r>
        <w:r>
          <w:rPr>
            <w:webHidden/>
          </w:rPr>
          <w:tab/>
        </w:r>
        <w:r>
          <w:rPr>
            <w:webHidden/>
          </w:rPr>
          <w:fldChar w:fldCharType="begin"/>
        </w:r>
        <w:r>
          <w:rPr>
            <w:webHidden/>
          </w:rPr>
          <w:instrText xml:space="preserve"> PAGEREF _Toc238039273 \h </w:instrText>
        </w:r>
        <w:r>
          <w:rPr>
            <w:webHidden/>
          </w:rPr>
        </w:r>
        <w:r>
          <w:rPr>
            <w:webHidden/>
          </w:rPr>
          <w:fldChar w:fldCharType="separate"/>
        </w:r>
        <w:r>
          <w:rPr>
            <w:webHidden/>
          </w:rPr>
          <w:t>11</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74" w:history="1">
        <w:r>
          <w:rPr>
            <w:rStyle w:val="Hyperlink"/>
            <w14:scene3d>
              <w14:camera w14:prst="orthographicFront"/>
              <w14:lightRig w14:rig="threePt" w14:dir="t">
                <w14:rot w14:lat="0" w14:lon="0" w14:rev="0"/>
              </w14:lightRig>
            </w14:scene3d>
          </w:rPr>
          <w:t>3.12</w:t>
        </w:r>
        <w:r>
          <w:rPr>
            <w:rFonts w:asciiTheme="minorHAnsi" w:eastAsiaTheme="minorEastAsia" w:hAnsiTheme="minorHAnsi" w:cstheme="minorBidi"/>
            <w:b w:val="0"/>
            <w:sz w:val="22"/>
            <w:szCs w:val="22"/>
            <w:lang w:eastAsia="de-DE"/>
          </w:rPr>
          <w:tab/>
        </w:r>
        <w:r>
          <w:rPr>
            <w:rStyle w:val="Hyperlink"/>
          </w:rPr>
          <w:t>Nachunternehmer</w:t>
        </w:r>
        <w:r>
          <w:rPr>
            <w:webHidden/>
          </w:rPr>
          <w:tab/>
        </w:r>
        <w:r>
          <w:rPr>
            <w:webHidden/>
          </w:rPr>
          <w:fldChar w:fldCharType="begin"/>
        </w:r>
        <w:r>
          <w:rPr>
            <w:webHidden/>
          </w:rPr>
          <w:instrText xml:space="preserve"> PAGEREF _Toc238039274 \h </w:instrText>
        </w:r>
        <w:r>
          <w:rPr>
            <w:webHidden/>
          </w:rPr>
        </w:r>
        <w:r>
          <w:rPr>
            <w:webHidden/>
          </w:rPr>
          <w:fldChar w:fldCharType="separate"/>
        </w:r>
        <w:r>
          <w:rPr>
            <w:webHidden/>
          </w:rPr>
          <w:t>12</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75" w:history="1">
        <w:r>
          <w:rPr>
            <w:rStyle w:val="Hyperlink"/>
            <w14:scene3d>
              <w14:camera w14:prst="orthographicFront"/>
              <w14:lightRig w14:rig="threePt" w14:dir="t">
                <w14:rot w14:lat="0" w14:lon="0" w14:rev="0"/>
              </w14:lightRig>
            </w14:scene3d>
          </w:rPr>
          <w:t>3.13</w:t>
        </w:r>
        <w:r>
          <w:rPr>
            <w:rFonts w:asciiTheme="minorHAnsi" w:eastAsiaTheme="minorEastAsia" w:hAnsiTheme="minorHAnsi" w:cstheme="minorBidi"/>
            <w:b w:val="0"/>
            <w:sz w:val="22"/>
            <w:szCs w:val="22"/>
            <w:lang w:eastAsia="de-DE"/>
          </w:rPr>
          <w:tab/>
        </w:r>
        <w:r>
          <w:rPr>
            <w:rStyle w:val="Hyperlink"/>
          </w:rPr>
          <w:t>Verpflichtung zur Einhaltung des Tariftreue- und Mindestlohngesetzes Rheinland-Pfalz (LTTG)</w:t>
        </w:r>
        <w:r>
          <w:rPr>
            <w:webHidden/>
          </w:rPr>
          <w:tab/>
        </w:r>
        <w:r>
          <w:rPr>
            <w:webHidden/>
          </w:rPr>
          <w:fldChar w:fldCharType="begin"/>
        </w:r>
        <w:r>
          <w:rPr>
            <w:webHidden/>
          </w:rPr>
          <w:instrText xml:space="preserve"> PAGEREF _Toc238039275 \h </w:instrText>
        </w:r>
        <w:r>
          <w:rPr>
            <w:webHidden/>
          </w:rPr>
        </w:r>
        <w:r>
          <w:rPr>
            <w:webHidden/>
          </w:rPr>
          <w:fldChar w:fldCharType="separate"/>
        </w:r>
        <w:r>
          <w:rPr>
            <w:webHidden/>
          </w:rPr>
          <w:t>13</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76" w:history="1">
        <w:r>
          <w:rPr>
            <w:rStyle w:val="Hyperlink"/>
            <w14:scene3d>
              <w14:camera w14:prst="orthographicFront"/>
              <w14:lightRig w14:rig="threePt" w14:dir="t">
                <w14:rot w14:lat="0" w14:lon="0" w14:rev="0"/>
              </w14:lightRig>
            </w14:scene3d>
          </w:rPr>
          <w:t>3.14</w:t>
        </w:r>
        <w:r>
          <w:rPr>
            <w:rFonts w:asciiTheme="minorHAnsi" w:eastAsiaTheme="minorEastAsia" w:hAnsiTheme="minorHAnsi" w:cstheme="minorBidi"/>
            <w:b w:val="0"/>
            <w:sz w:val="22"/>
            <w:szCs w:val="22"/>
            <w:lang w:eastAsia="de-DE"/>
          </w:rPr>
          <w:tab/>
        </w:r>
        <w:r>
          <w:rPr>
            <w:rStyle w:val="Hyperlink"/>
          </w:rPr>
          <w:t>Verpflichtung zur Einhaltung der Bestimmungen der Datenschutz-Grundverordnung (DSGVO) und des Landesdatenschutzgesetzes von Rheinland-Pfalz (LDSG)</w:t>
        </w:r>
        <w:r>
          <w:rPr>
            <w:webHidden/>
          </w:rPr>
          <w:tab/>
        </w:r>
        <w:r>
          <w:rPr>
            <w:webHidden/>
          </w:rPr>
          <w:fldChar w:fldCharType="begin"/>
        </w:r>
        <w:r>
          <w:rPr>
            <w:webHidden/>
          </w:rPr>
          <w:instrText xml:space="preserve"> PAGEREF _Toc238039276 \h </w:instrText>
        </w:r>
        <w:r>
          <w:rPr>
            <w:webHidden/>
          </w:rPr>
        </w:r>
        <w:r>
          <w:rPr>
            <w:webHidden/>
          </w:rPr>
          <w:fldChar w:fldCharType="separate"/>
        </w:r>
        <w:r>
          <w:rPr>
            <w:webHidden/>
          </w:rPr>
          <w:t>13</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77" w:history="1">
        <w:r>
          <w:rPr>
            <w:rStyle w:val="Hyperlink"/>
            <w14:scene3d>
              <w14:camera w14:prst="orthographicFront"/>
              <w14:lightRig w14:rig="threePt" w14:dir="t">
                <w14:rot w14:lat="0" w14:lon="0" w14:rev="0"/>
              </w14:lightRig>
            </w14:scene3d>
          </w:rPr>
          <w:t>3.15</w:t>
        </w:r>
        <w:r>
          <w:rPr>
            <w:rFonts w:asciiTheme="minorHAnsi" w:eastAsiaTheme="minorEastAsia" w:hAnsiTheme="minorHAnsi" w:cstheme="minorBidi"/>
            <w:b w:val="0"/>
            <w:sz w:val="22"/>
            <w:szCs w:val="22"/>
            <w:lang w:eastAsia="de-DE"/>
          </w:rPr>
          <w:tab/>
        </w:r>
        <w:r>
          <w:rPr>
            <w:rStyle w:val="Hyperlink"/>
          </w:rPr>
          <w:t>Speicherung und Verarbeitung personenbezogener Daten</w:t>
        </w:r>
        <w:r>
          <w:rPr>
            <w:webHidden/>
          </w:rPr>
          <w:tab/>
        </w:r>
        <w:r>
          <w:rPr>
            <w:webHidden/>
          </w:rPr>
          <w:fldChar w:fldCharType="begin"/>
        </w:r>
        <w:r>
          <w:rPr>
            <w:webHidden/>
          </w:rPr>
          <w:instrText xml:space="preserve"> PAGEREF _Toc238039277 \h </w:instrText>
        </w:r>
        <w:r>
          <w:rPr>
            <w:webHidden/>
          </w:rPr>
        </w:r>
        <w:r>
          <w:rPr>
            <w:webHidden/>
          </w:rPr>
          <w:fldChar w:fldCharType="separate"/>
        </w:r>
        <w:r>
          <w:rPr>
            <w:webHidden/>
          </w:rPr>
          <w:t>13</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78" w:history="1">
        <w:r>
          <w:rPr>
            <w:rStyle w:val="Hyperlink"/>
            <w14:scene3d>
              <w14:camera w14:prst="orthographicFront"/>
              <w14:lightRig w14:rig="threePt" w14:dir="t">
                <w14:rot w14:lat="0" w14:lon="0" w14:rev="0"/>
              </w14:lightRig>
            </w14:scene3d>
          </w:rPr>
          <w:t>3.16</w:t>
        </w:r>
        <w:r>
          <w:rPr>
            <w:rFonts w:asciiTheme="minorHAnsi" w:eastAsiaTheme="minorEastAsia" w:hAnsiTheme="minorHAnsi" w:cstheme="minorBidi"/>
            <w:b w:val="0"/>
            <w:sz w:val="22"/>
            <w:szCs w:val="22"/>
            <w:lang w:eastAsia="de-DE"/>
          </w:rPr>
          <w:tab/>
        </w:r>
        <w:r>
          <w:rPr>
            <w:rStyle w:val="Hyperlink"/>
          </w:rPr>
          <w:t>Doppelbewerbungen</w:t>
        </w:r>
        <w:r>
          <w:rPr>
            <w:webHidden/>
          </w:rPr>
          <w:tab/>
        </w:r>
        <w:r>
          <w:rPr>
            <w:webHidden/>
          </w:rPr>
          <w:fldChar w:fldCharType="begin"/>
        </w:r>
        <w:r>
          <w:rPr>
            <w:webHidden/>
          </w:rPr>
          <w:instrText xml:space="preserve"> PAGEREF _Toc238039278 \h </w:instrText>
        </w:r>
        <w:r>
          <w:rPr>
            <w:webHidden/>
          </w:rPr>
        </w:r>
        <w:r>
          <w:rPr>
            <w:webHidden/>
          </w:rPr>
          <w:fldChar w:fldCharType="separate"/>
        </w:r>
        <w:r>
          <w:rPr>
            <w:webHidden/>
          </w:rPr>
          <w:t>13</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79" w:history="1">
        <w:r>
          <w:rPr>
            <w:rStyle w:val="Hyperlink"/>
            <w14:scene3d>
              <w14:camera w14:prst="orthographicFront"/>
              <w14:lightRig w14:rig="threePt" w14:dir="t">
                <w14:rot w14:lat="0" w14:lon="0" w14:rev="0"/>
              </w14:lightRig>
            </w14:scene3d>
          </w:rPr>
          <w:t>3.17</w:t>
        </w:r>
        <w:r>
          <w:rPr>
            <w:rFonts w:asciiTheme="minorHAnsi" w:eastAsiaTheme="minorEastAsia" w:hAnsiTheme="minorHAnsi" w:cstheme="minorBidi"/>
            <w:b w:val="0"/>
            <w:sz w:val="22"/>
            <w:szCs w:val="22"/>
            <w:lang w:eastAsia="de-DE"/>
          </w:rPr>
          <w:tab/>
        </w:r>
        <w:r>
          <w:rPr>
            <w:rStyle w:val="Hyperlink"/>
          </w:rPr>
          <w:t>Verschwiegenheit/Vertraulichkeit</w:t>
        </w:r>
        <w:r>
          <w:rPr>
            <w:webHidden/>
          </w:rPr>
          <w:tab/>
        </w:r>
        <w:r>
          <w:rPr>
            <w:webHidden/>
          </w:rPr>
          <w:fldChar w:fldCharType="begin"/>
        </w:r>
        <w:r>
          <w:rPr>
            <w:webHidden/>
          </w:rPr>
          <w:instrText xml:space="preserve"> PAGEREF _Toc238039279 \h </w:instrText>
        </w:r>
        <w:r>
          <w:rPr>
            <w:webHidden/>
          </w:rPr>
        </w:r>
        <w:r>
          <w:rPr>
            <w:webHidden/>
          </w:rPr>
          <w:fldChar w:fldCharType="separate"/>
        </w:r>
        <w:r>
          <w:rPr>
            <w:webHidden/>
          </w:rPr>
          <w:t>13</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80" w:history="1">
        <w:r>
          <w:rPr>
            <w:rStyle w:val="Hyperlink"/>
            <w14:scene3d>
              <w14:camera w14:prst="orthographicFront"/>
              <w14:lightRig w14:rig="threePt" w14:dir="t">
                <w14:rot w14:lat="0" w14:lon="0" w14:rev="0"/>
              </w14:lightRig>
            </w14:scene3d>
          </w:rPr>
          <w:t>3.18</w:t>
        </w:r>
        <w:r>
          <w:rPr>
            <w:rFonts w:asciiTheme="minorHAnsi" w:eastAsiaTheme="minorEastAsia" w:hAnsiTheme="minorHAnsi" w:cstheme="minorBidi"/>
            <w:b w:val="0"/>
            <w:sz w:val="22"/>
            <w:szCs w:val="22"/>
            <w:lang w:eastAsia="de-DE"/>
          </w:rPr>
          <w:tab/>
        </w:r>
        <w:r>
          <w:rPr>
            <w:rStyle w:val="Hyperlink"/>
          </w:rPr>
          <w:t>Personal</w:t>
        </w:r>
        <w:r>
          <w:rPr>
            <w:webHidden/>
          </w:rPr>
          <w:tab/>
        </w:r>
        <w:r>
          <w:rPr>
            <w:webHidden/>
          </w:rPr>
          <w:fldChar w:fldCharType="begin"/>
        </w:r>
        <w:r>
          <w:rPr>
            <w:webHidden/>
          </w:rPr>
          <w:instrText xml:space="preserve"> PAGEREF _Toc238039280 \h </w:instrText>
        </w:r>
        <w:r>
          <w:rPr>
            <w:webHidden/>
          </w:rPr>
        </w:r>
        <w:r>
          <w:rPr>
            <w:webHidden/>
          </w:rPr>
          <w:fldChar w:fldCharType="separate"/>
        </w:r>
        <w:r>
          <w:rPr>
            <w:webHidden/>
          </w:rPr>
          <w:t>14</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81" w:history="1">
        <w:r>
          <w:rPr>
            <w:rStyle w:val="Hyperlink"/>
            <w14:scene3d>
              <w14:camera w14:prst="orthographicFront"/>
              <w14:lightRig w14:rig="threePt" w14:dir="t">
                <w14:rot w14:lat="0" w14:lon="0" w14:rev="0"/>
              </w14:lightRig>
            </w14:scene3d>
          </w:rPr>
          <w:t>3.19</w:t>
        </w:r>
        <w:r>
          <w:rPr>
            <w:rFonts w:asciiTheme="minorHAnsi" w:eastAsiaTheme="minorEastAsia" w:hAnsiTheme="minorHAnsi" w:cstheme="minorBidi"/>
            <w:b w:val="0"/>
            <w:sz w:val="22"/>
            <w:szCs w:val="22"/>
            <w:lang w:eastAsia="de-DE"/>
          </w:rPr>
          <w:tab/>
        </w:r>
        <w:r>
          <w:rPr>
            <w:rStyle w:val="Hyperlink"/>
          </w:rPr>
          <w:t>Sprache</w:t>
        </w:r>
        <w:r>
          <w:rPr>
            <w:webHidden/>
          </w:rPr>
          <w:tab/>
        </w:r>
        <w:r>
          <w:rPr>
            <w:webHidden/>
          </w:rPr>
          <w:fldChar w:fldCharType="begin"/>
        </w:r>
        <w:r>
          <w:rPr>
            <w:webHidden/>
          </w:rPr>
          <w:instrText xml:space="preserve"> PAGEREF _Toc238039281 \h </w:instrText>
        </w:r>
        <w:r>
          <w:rPr>
            <w:webHidden/>
          </w:rPr>
        </w:r>
        <w:r>
          <w:rPr>
            <w:webHidden/>
          </w:rPr>
          <w:fldChar w:fldCharType="separate"/>
        </w:r>
        <w:r>
          <w:rPr>
            <w:webHidden/>
          </w:rPr>
          <w:t>14</w:t>
        </w:r>
        <w:r>
          <w:rPr>
            <w:webHidden/>
          </w:rPr>
          <w:fldChar w:fldCharType="end"/>
        </w:r>
      </w:hyperlink>
    </w:p>
    <w:p>
      <w:pPr>
        <w:pStyle w:val="Verzeichnis1"/>
        <w:rPr>
          <w:rFonts w:asciiTheme="minorHAnsi" w:eastAsiaTheme="minorEastAsia" w:hAnsiTheme="minorHAnsi" w:cstheme="minorBidi"/>
          <w:b w:val="0"/>
          <w:sz w:val="22"/>
          <w:szCs w:val="22"/>
          <w:lang w:eastAsia="de-DE"/>
        </w:rPr>
      </w:pPr>
      <w:hyperlink w:anchor="_Toc238039282" w:history="1">
        <w:r>
          <w:rPr>
            <w:rStyle w:val="Hyperlink"/>
            <w:rFonts w:cs="Arial"/>
          </w:rPr>
          <w:t>4</w:t>
        </w:r>
        <w:r>
          <w:rPr>
            <w:rFonts w:asciiTheme="minorHAnsi" w:eastAsiaTheme="minorEastAsia" w:hAnsiTheme="minorHAnsi" w:cstheme="minorBidi"/>
            <w:b w:val="0"/>
            <w:sz w:val="22"/>
            <w:szCs w:val="22"/>
            <w:lang w:eastAsia="de-DE"/>
          </w:rPr>
          <w:tab/>
        </w:r>
        <w:r>
          <w:rPr>
            <w:rStyle w:val="Hyperlink"/>
            <w:rFonts w:cs="Arial"/>
          </w:rPr>
          <w:t>Angebotsprüfung</w:t>
        </w:r>
        <w:r>
          <w:rPr>
            <w:webHidden/>
          </w:rPr>
          <w:tab/>
        </w:r>
        <w:r>
          <w:rPr>
            <w:webHidden/>
          </w:rPr>
          <w:fldChar w:fldCharType="begin"/>
        </w:r>
        <w:r>
          <w:rPr>
            <w:webHidden/>
          </w:rPr>
          <w:instrText xml:space="preserve"> PAGEREF _Toc238039282 \h </w:instrText>
        </w:r>
        <w:r>
          <w:rPr>
            <w:webHidden/>
          </w:rPr>
        </w:r>
        <w:r>
          <w:rPr>
            <w:webHidden/>
          </w:rPr>
          <w:fldChar w:fldCharType="separate"/>
        </w:r>
        <w:r>
          <w:rPr>
            <w:webHidden/>
          </w:rPr>
          <w:t>15</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83" w:history="1">
        <w:r>
          <w:rPr>
            <w:rStyle w:val="Hyperlink"/>
            <w14:scene3d>
              <w14:camera w14:prst="orthographicFront"/>
              <w14:lightRig w14:rig="threePt" w14:dir="t">
                <w14:rot w14:lat="0" w14:lon="0" w14:rev="0"/>
              </w14:lightRig>
            </w14:scene3d>
          </w:rPr>
          <w:t>4.1</w:t>
        </w:r>
        <w:r>
          <w:rPr>
            <w:rFonts w:asciiTheme="minorHAnsi" w:eastAsiaTheme="minorEastAsia" w:hAnsiTheme="minorHAnsi" w:cstheme="minorBidi"/>
            <w:b w:val="0"/>
            <w:sz w:val="22"/>
            <w:szCs w:val="22"/>
            <w:lang w:eastAsia="de-DE"/>
          </w:rPr>
          <w:tab/>
        </w:r>
        <w:r>
          <w:rPr>
            <w:rStyle w:val="Hyperlink"/>
            <w:rFonts w:cs="Arial"/>
          </w:rPr>
          <w:t>Prüfungs- und Wertungsverfahren</w:t>
        </w:r>
        <w:r>
          <w:rPr>
            <w:webHidden/>
          </w:rPr>
          <w:tab/>
        </w:r>
        <w:r>
          <w:rPr>
            <w:webHidden/>
          </w:rPr>
          <w:fldChar w:fldCharType="begin"/>
        </w:r>
        <w:r>
          <w:rPr>
            <w:webHidden/>
          </w:rPr>
          <w:instrText xml:space="preserve"> PAGEREF _Toc238039283 \h </w:instrText>
        </w:r>
        <w:r>
          <w:rPr>
            <w:webHidden/>
          </w:rPr>
        </w:r>
        <w:r>
          <w:rPr>
            <w:webHidden/>
          </w:rPr>
          <w:fldChar w:fldCharType="separate"/>
        </w:r>
        <w:r>
          <w:rPr>
            <w:webHidden/>
          </w:rPr>
          <w:t>15</w:t>
        </w:r>
        <w:r>
          <w:rPr>
            <w:webHidden/>
          </w:rPr>
          <w:fldChar w:fldCharType="end"/>
        </w:r>
      </w:hyperlink>
    </w:p>
    <w:p>
      <w:pPr>
        <w:pStyle w:val="Verzeichnis1"/>
        <w:rPr>
          <w:rFonts w:asciiTheme="minorHAnsi" w:eastAsiaTheme="minorEastAsia" w:hAnsiTheme="minorHAnsi" w:cstheme="minorBidi"/>
          <w:b w:val="0"/>
          <w:sz w:val="22"/>
          <w:szCs w:val="22"/>
          <w:lang w:eastAsia="de-DE"/>
        </w:rPr>
      </w:pPr>
      <w:hyperlink w:anchor="_Toc238039284" w:history="1">
        <w:r>
          <w:rPr>
            <w:rStyle w:val="Hyperlink"/>
            <w:rFonts w:cs="Arial"/>
          </w:rPr>
          <w:t>5</w:t>
        </w:r>
        <w:r>
          <w:rPr>
            <w:rFonts w:asciiTheme="minorHAnsi" w:eastAsiaTheme="minorEastAsia" w:hAnsiTheme="minorHAnsi" w:cstheme="minorBidi"/>
            <w:b w:val="0"/>
            <w:sz w:val="22"/>
            <w:szCs w:val="22"/>
            <w:lang w:eastAsia="de-DE"/>
          </w:rPr>
          <w:tab/>
        </w:r>
        <w:r>
          <w:rPr>
            <w:rStyle w:val="Hyperlink"/>
            <w:rFonts w:cs="Arial"/>
          </w:rPr>
          <w:t>Vertragliche Grundlagen</w:t>
        </w:r>
        <w:r>
          <w:rPr>
            <w:webHidden/>
          </w:rPr>
          <w:tab/>
        </w:r>
        <w:r>
          <w:rPr>
            <w:webHidden/>
          </w:rPr>
          <w:fldChar w:fldCharType="begin"/>
        </w:r>
        <w:r>
          <w:rPr>
            <w:webHidden/>
          </w:rPr>
          <w:instrText xml:space="preserve"> PAGEREF _Toc238039284 \h </w:instrText>
        </w:r>
        <w:r>
          <w:rPr>
            <w:webHidden/>
          </w:rPr>
        </w:r>
        <w:r>
          <w:rPr>
            <w:webHidden/>
          </w:rPr>
          <w:fldChar w:fldCharType="separate"/>
        </w:r>
        <w:r>
          <w:rPr>
            <w:webHidden/>
          </w:rPr>
          <w:t>16</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85" w:history="1">
        <w:r>
          <w:rPr>
            <w:rStyle w:val="Hyperlink"/>
            <w14:scene3d>
              <w14:camera w14:prst="orthographicFront"/>
              <w14:lightRig w14:rig="threePt" w14:dir="t">
                <w14:rot w14:lat="0" w14:lon="0" w14:rev="0"/>
              </w14:lightRig>
            </w14:scene3d>
          </w:rPr>
          <w:t>5.1</w:t>
        </w:r>
        <w:r>
          <w:rPr>
            <w:rFonts w:asciiTheme="minorHAnsi" w:eastAsiaTheme="minorEastAsia" w:hAnsiTheme="minorHAnsi" w:cstheme="minorBidi"/>
            <w:b w:val="0"/>
            <w:sz w:val="22"/>
            <w:szCs w:val="22"/>
            <w:lang w:eastAsia="de-DE"/>
          </w:rPr>
          <w:tab/>
        </w:r>
        <w:r>
          <w:rPr>
            <w:rStyle w:val="Hyperlink"/>
            <w:rFonts w:cs="Arial"/>
          </w:rPr>
          <w:t>Vertragsgegenstand</w:t>
        </w:r>
        <w:r>
          <w:rPr>
            <w:webHidden/>
          </w:rPr>
          <w:tab/>
        </w:r>
        <w:r>
          <w:rPr>
            <w:webHidden/>
          </w:rPr>
          <w:fldChar w:fldCharType="begin"/>
        </w:r>
        <w:r>
          <w:rPr>
            <w:webHidden/>
          </w:rPr>
          <w:instrText xml:space="preserve"> PAGEREF _Toc238039285 \h </w:instrText>
        </w:r>
        <w:r>
          <w:rPr>
            <w:webHidden/>
          </w:rPr>
        </w:r>
        <w:r>
          <w:rPr>
            <w:webHidden/>
          </w:rPr>
          <w:fldChar w:fldCharType="separate"/>
        </w:r>
        <w:r>
          <w:rPr>
            <w:webHidden/>
          </w:rPr>
          <w:t>16</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86" w:history="1">
        <w:r>
          <w:rPr>
            <w:rStyle w:val="Hyperlink"/>
            <w14:scene3d>
              <w14:camera w14:prst="orthographicFront"/>
              <w14:lightRig w14:rig="threePt" w14:dir="t">
                <w14:rot w14:lat="0" w14:lon="0" w14:rev="0"/>
              </w14:lightRig>
            </w14:scene3d>
          </w:rPr>
          <w:t>5.2</w:t>
        </w:r>
        <w:r>
          <w:rPr>
            <w:rFonts w:asciiTheme="minorHAnsi" w:eastAsiaTheme="minorEastAsia" w:hAnsiTheme="minorHAnsi" w:cstheme="minorBidi"/>
            <w:b w:val="0"/>
            <w:sz w:val="22"/>
            <w:szCs w:val="22"/>
            <w:lang w:eastAsia="de-DE"/>
          </w:rPr>
          <w:tab/>
        </w:r>
        <w:r>
          <w:rPr>
            <w:rStyle w:val="Hyperlink"/>
            <w:rFonts w:cs="Arial"/>
          </w:rPr>
          <w:t>Vertragspartnerin</w:t>
        </w:r>
        <w:r>
          <w:rPr>
            <w:webHidden/>
          </w:rPr>
          <w:tab/>
        </w:r>
        <w:r>
          <w:rPr>
            <w:webHidden/>
          </w:rPr>
          <w:fldChar w:fldCharType="begin"/>
        </w:r>
        <w:r>
          <w:rPr>
            <w:webHidden/>
          </w:rPr>
          <w:instrText xml:space="preserve"> PAGEREF _Toc238039286 \h </w:instrText>
        </w:r>
        <w:r>
          <w:rPr>
            <w:webHidden/>
          </w:rPr>
        </w:r>
        <w:r>
          <w:rPr>
            <w:webHidden/>
          </w:rPr>
          <w:fldChar w:fldCharType="separate"/>
        </w:r>
        <w:r>
          <w:rPr>
            <w:webHidden/>
          </w:rPr>
          <w:t>16</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87" w:history="1">
        <w:r>
          <w:rPr>
            <w:rStyle w:val="Hyperlink"/>
            <w14:scene3d>
              <w14:camera w14:prst="orthographicFront"/>
              <w14:lightRig w14:rig="threePt" w14:dir="t">
                <w14:rot w14:lat="0" w14:lon="0" w14:rev="0"/>
              </w14:lightRig>
            </w14:scene3d>
          </w:rPr>
          <w:t>5.3</w:t>
        </w:r>
        <w:r>
          <w:rPr>
            <w:rFonts w:asciiTheme="minorHAnsi" w:eastAsiaTheme="minorEastAsia" w:hAnsiTheme="minorHAnsi" w:cstheme="minorBidi"/>
            <w:b w:val="0"/>
            <w:sz w:val="22"/>
            <w:szCs w:val="22"/>
            <w:lang w:eastAsia="de-DE"/>
          </w:rPr>
          <w:tab/>
        </w:r>
        <w:r>
          <w:rPr>
            <w:rStyle w:val="Hyperlink"/>
          </w:rPr>
          <w:t>Bezugsberechtigte Stelle</w:t>
        </w:r>
        <w:r>
          <w:rPr>
            <w:webHidden/>
          </w:rPr>
          <w:tab/>
        </w:r>
        <w:r>
          <w:rPr>
            <w:webHidden/>
          </w:rPr>
          <w:fldChar w:fldCharType="begin"/>
        </w:r>
        <w:r>
          <w:rPr>
            <w:webHidden/>
          </w:rPr>
          <w:instrText xml:space="preserve"> PAGEREF _Toc238039287 \h </w:instrText>
        </w:r>
        <w:r>
          <w:rPr>
            <w:webHidden/>
          </w:rPr>
        </w:r>
        <w:r>
          <w:rPr>
            <w:webHidden/>
          </w:rPr>
          <w:fldChar w:fldCharType="separate"/>
        </w:r>
        <w:r>
          <w:rPr>
            <w:webHidden/>
          </w:rPr>
          <w:t>16</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88" w:history="1">
        <w:r>
          <w:rPr>
            <w:rStyle w:val="Hyperlink"/>
            <w14:scene3d>
              <w14:camera w14:prst="orthographicFront"/>
              <w14:lightRig w14:rig="threePt" w14:dir="t">
                <w14:rot w14:lat="0" w14:lon="0" w14:rev="0"/>
              </w14:lightRig>
            </w14:scene3d>
          </w:rPr>
          <w:t>5.4</w:t>
        </w:r>
        <w:r>
          <w:rPr>
            <w:rFonts w:asciiTheme="minorHAnsi" w:eastAsiaTheme="minorEastAsia" w:hAnsiTheme="minorHAnsi" w:cstheme="minorBidi"/>
            <w:b w:val="0"/>
            <w:sz w:val="22"/>
            <w:szCs w:val="22"/>
            <w:lang w:eastAsia="de-DE"/>
          </w:rPr>
          <w:tab/>
        </w:r>
        <w:r>
          <w:rPr>
            <w:rStyle w:val="Hyperlink"/>
          </w:rPr>
          <w:t>Vertragsbestandteile und -regelungen</w:t>
        </w:r>
        <w:r>
          <w:rPr>
            <w:webHidden/>
          </w:rPr>
          <w:tab/>
        </w:r>
        <w:r>
          <w:rPr>
            <w:webHidden/>
          </w:rPr>
          <w:fldChar w:fldCharType="begin"/>
        </w:r>
        <w:r>
          <w:rPr>
            <w:webHidden/>
          </w:rPr>
          <w:instrText xml:space="preserve"> PAGEREF _Toc238039288 \h </w:instrText>
        </w:r>
        <w:r>
          <w:rPr>
            <w:webHidden/>
          </w:rPr>
        </w:r>
        <w:r>
          <w:rPr>
            <w:webHidden/>
          </w:rPr>
          <w:fldChar w:fldCharType="separate"/>
        </w:r>
        <w:r>
          <w:rPr>
            <w:webHidden/>
          </w:rPr>
          <w:t>16</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89" w:history="1">
        <w:r>
          <w:rPr>
            <w:rStyle w:val="Hyperlink"/>
            <w14:scene3d>
              <w14:camera w14:prst="orthographicFront"/>
              <w14:lightRig w14:rig="threePt" w14:dir="t">
                <w14:rot w14:lat="0" w14:lon="0" w14:rev="0"/>
              </w14:lightRig>
            </w14:scene3d>
          </w:rPr>
          <w:t>5.5</w:t>
        </w:r>
        <w:r>
          <w:rPr>
            <w:rFonts w:asciiTheme="minorHAnsi" w:eastAsiaTheme="minorEastAsia" w:hAnsiTheme="minorHAnsi" w:cstheme="minorBidi"/>
            <w:b w:val="0"/>
            <w:sz w:val="22"/>
            <w:szCs w:val="22"/>
            <w:lang w:eastAsia="de-DE"/>
          </w:rPr>
          <w:tab/>
        </w:r>
        <w:r>
          <w:rPr>
            <w:rStyle w:val="Hyperlink"/>
          </w:rPr>
          <w:t>Vertragslaufzeit</w:t>
        </w:r>
        <w:r>
          <w:rPr>
            <w:webHidden/>
          </w:rPr>
          <w:tab/>
        </w:r>
        <w:r>
          <w:rPr>
            <w:webHidden/>
          </w:rPr>
          <w:fldChar w:fldCharType="begin"/>
        </w:r>
        <w:r>
          <w:rPr>
            <w:webHidden/>
          </w:rPr>
          <w:instrText xml:space="preserve"> PAGEREF _Toc238039289 \h </w:instrText>
        </w:r>
        <w:r>
          <w:rPr>
            <w:webHidden/>
          </w:rPr>
        </w:r>
        <w:r>
          <w:rPr>
            <w:webHidden/>
          </w:rPr>
          <w:fldChar w:fldCharType="separate"/>
        </w:r>
        <w:r>
          <w:rPr>
            <w:webHidden/>
          </w:rPr>
          <w:t>17</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90" w:history="1">
        <w:r>
          <w:rPr>
            <w:rStyle w:val="Hyperlink"/>
            <w14:scene3d>
              <w14:camera w14:prst="orthographicFront"/>
              <w14:lightRig w14:rig="threePt" w14:dir="t">
                <w14:rot w14:lat="0" w14:lon="0" w14:rev="0"/>
              </w14:lightRig>
            </w14:scene3d>
          </w:rPr>
          <w:t>5.6</w:t>
        </w:r>
        <w:r>
          <w:rPr>
            <w:rFonts w:asciiTheme="minorHAnsi" w:eastAsiaTheme="minorEastAsia" w:hAnsiTheme="minorHAnsi" w:cstheme="minorBidi"/>
            <w:b w:val="0"/>
            <w:sz w:val="22"/>
            <w:szCs w:val="22"/>
            <w:lang w:eastAsia="de-DE"/>
          </w:rPr>
          <w:tab/>
        </w:r>
        <w:r>
          <w:rPr>
            <w:rStyle w:val="Hyperlink"/>
            <w:rFonts w:cs="Arial"/>
          </w:rPr>
          <w:t>Vertragsänderungen</w:t>
        </w:r>
        <w:r>
          <w:rPr>
            <w:webHidden/>
          </w:rPr>
          <w:tab/>
        </w:r>
        <w:r>
          <w:rPr>
            <w:webHidden/>
          </w:rPr>
          <w:fldChar w:fldCharType="begin"/>
        </w:r>
        <w:r>
          <w:rPr>
            <w:webHidden/>
          </w:rPr>
          <w:instrText xml:space="preserve"> PAGEREF _Toc238039290 \h </w:instrText>
        </w:r>
        <w:r>
          <w:rPr>
            <w:webHidden/>
          </w:rPr>
        </w:r>
        <w:r>
          <w:rPr>
            <w:webHidden/>
          </w:rPr>
          <w:fldChar w:fldCharType="separate"/>
        </w:r>
        <w:r>
          <w:rPr>
            <w:webHidden/>
          </w:rPr>
          <w:t>17</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91" w:history="1">
        <w:r>
          <w:rPr>
            <w:rStyle w:val="Hyperlink"/>
            <w14:scene3d>
              <w14:camera w14:prst="orthographicFront"/>
              <w14:lightRig w14:rig="threePt" w14:dir="t">
                <w14:rot w14:lat="0" w14:lon="0" w14:rev="0"/>
              </w14:lightRig>
            </w14:scene3d>
          </w:rPr>
          <w:t>5.7</w:t>
        </w:r>
        <w:r>
          <w:rPr>
            <w:rFonts w:asciiTheme="minorHAnsi" w:eastAsiaTheme="minorEastAsia" w:hAnsiTheme="minorHAnsi" w:cstheme="minorBidi"/>
            <w:b w:val="0"/>
            <w:sz w:val="22"/>
            <w:szCs w:val="22"/>
            <w:lang w:eastAsia="de-DE"/>
          </w:rPr>
          <w:tab/>
        </w:r>
        <w:r>
          <w:rPr>
            <w:rStyle w:val="Hyperlink"/>
          </w:rPr>
          <w:t>Kündigung</w:t>
        </w:r>
        <w:r>
          <w:rPr>
            <w:webHidden/>
          </w:rPr>
          <w:tab/>
        </w:r>
        <w:r>
          <w:rPr>
            <w:webHidden/>
          </w:rPr>
          <w:fldChar w:fldCharType="begin"/>
        </w:r>
        <w:r>
          <w:rPr>
            <w:webHidden/>
          </w:rPr>
          <w:instrText xml:space="preserve"> PAGEREF _Toc238039291 \h </w:instrText>
        </w:r>
        <w:r>
          <w:rPr>
            <w:webHidden/>
          </w:rPr>
        </w:r>
        <w:r>
          <w:rPr>
            <w:webHidden/>
          </w:rPr>
          <w:fldChar w:fldCharType="separate"/>
        </w:r>
        <w:r>
          <w:rPr>
            <w:webHidden/>
          </w:rPr>
          <w:t>18</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92" w:history="1">
        <w:r>
          <w:rPr>
            <w:rStyle w:val="Hyperlink"/>
            <w14:scene3d>
              <w14:camera w14:prst="orthographicFront"/>
              <w14:lightRig w14:rig="threePt" w14:dir="t">
                <w14:rot w14:lat="0" w14:lon="0" w14:rev="0"/>
              </w14:lightRig>
            </w14:scene3d>
          </w:rPr>
          <w:t>5.8</w:t>
        </w:r>
        <w:r>
          <w:rPr>
            <w:rFonts w:asciiTheme="minorHAnsi" w:eastAsiaTheme="minorEastAsia" w:hAnsiTheme="minorHAnsi" w:cstheme="minorBidi"/>
            <w:b w:val="0"/>
            <w:sz w:val="22"/>
            <w:szCs w:val="22"/>
            <w:lang w:eastAsia="de-DE"/>
          </w:rPr>
          <w:tab/>
        </w:r>
        <w:r>
          <w:rPr>
            <w:rStyle w:val="Hyperlink"/>
          </w:rPr>
          <w:t>Preise</w:t>
        </w:r>
        <w:r>
          <w:rPr>
            <w:webHidden/>
          </w:rPr>
          <w:tab/>
        </w:r>
        <w:r>
          <w:rPr>
            <w:webHidden/>
          </w:rPr>
          <w:fldChar w:fldCharType="begin"/>
        </w:r>
        <w:r>
          <w:rPr>
            <w:webHidden/>
          </w:rPr>
          <w:instrText xml:space="preserve"> PAGEREF _Toc238039292 \h </w:instrText>
        </w:r>
        <w:r>
          <w:rPr>
            <w:webHidden/>
          </w:rPr>
        </w:r>
        <w:r>
          <w:rPr>
            <w:webHidden/>
          </w:rPr>
          <w:fldChar w:fldCharType="separate"/>
        </w:r>
        <w:r>
          <w:rPr>
            <w:webHidden/>
          </w:rPr>
          <w:t>18</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93" w:history="1">
        <w:r>
          <w:rPr>
            <w:rStyle w:val="Hyperlink"/>
            <w14:scene3d>
              <w14:camera w14:prst="orthographicFront"/>
              <w14:lightRig w14:rig="threePt" w14:dir="t">
                <w14:rot w14:lat="0" w14:lon="0" w14:rev="0"/>
              </w14:lightRig>
            </w14:scene3d>
          </w:rPr>
          <w:t>5.9</w:t>
        </w:r>
        <w:r>
          <w:rPr>
            <w:rFonts w:asciiTheme="minorHAnsi" w:eastAsiaTheme="minorEastAsia" w:hAnsiTheme="minorHAnsi" w:cstheme="minorBidi"/>
            <w:b w:val="0"/>
            <w:sz w:val="22"/>
            <w:szCs w:val="22"/>
            <w:lang w:eastAsia="de-DE"/>
          </w:rPr>
          <w:tab/>
        </w:r>
        <w:r>
          <w:rPr>
            <w:rStyle w:val="Hyperlink"/>
          </w:rPr>
          <w:t>Zahlungsbedingungen</w:t>
        </w:r>
        <w:r>
          <w:rPr>
            <w:webHidden/>
          </w:rPr>
          <w:tab/>
        </w:r>
        <w:r>
          <w:rPr>
            <w:webHidden/>
          </w:rPr>
          <w:fldChar w:fldCharType="begin"/>
        </w:r>
        <w:r>
          <w:rPr>
            <w:webHidden/>
          </w:rPr>
          <w:instrText xml:space="preserve"> PAGEREF _Toc238039293 \h </w:instrText>
        </w:r>
        <w:r>
          <w:rPr>
            <w:webHidden/>
          </w:rPr>
        </w:r>
        <w:r>
          <w:rPr>
            <w:webHidden/>
          </w:rPr>
          <w:fldChar w:fldCharType="separate"/>
        </w:r>
        <w:r>
          <w:rPr>
            <w:webHidden/>
          </w:rPr>
          <w:t>18</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94" w:history="1">
        <w:r>
          <w:rPr>
            <w:rStyle w:val="Hyperlink"/>
            <w14:scene3d>
              <w14:camera w14:prst="orthographicFront"/>
              <w14:lightRig w14:rig="threePt" w14:dir="t">
                <w14:rot w14:lat="0" w14:lon="0" w14:rev="0"/>
              </w14:lightRig>
            </w14:scene3d>
          </w:rPr>
          <w:t>5.10</w:t>
        </w:r>
        <w:r>
          <w:rPr>
            <w:rFonts w:asciiTheme="minorHAnsi" w:eastAsiaTheme="minorEastAsia" w:hAnsiTheme="minorHAnsi" w:cstheme="minorBidi"/>
            <w:b w:val="0"/>
            <w:sz w:val="22"/>
            <w:szCs w:val="22"/>
            <w:lang w:eastAsia="de-DE"/>
          </w:rPr>
          <w:tab/>
        </w:r>
        <w:r>
          <w:rPr>
            <w:rStyle w:val="Hyperlink"/>
            <w:rFonts w:cs="Arial"/>
          </w:rPr>
          <w:t>Rechnungsstellungen</w:t>
        </w:r>
        <w:r>
          <w:rPr>
            <w:webHidden/>
          </w:rPr>
          <w:tab/>
        </w:r>
        <w:r>
          <w:rPr>
            <w:webHidden/>
          </w:rPr>
          <w:fldChar w:fldCharType="begin"/>
        </w:r>
        <w:r>
          <w:rPr>
            <w:webHidden/>
          </w:rPr>
          <w:instrText xml:space="preserve"> PAGEREF _Toc238039294 \h </w:instrText>
        </w:r>
        <w:r>
          <w:rPr>
            <w:webHidden/>
          </w:rPr>
        </w:r>
        <w:r>
          <w:rPr>
            <w:webHidden/>
          </w:rPr>
          <w:fldChar w:fldCharType="separate"/>
        </w:r>
        <w:r>
          <w:rPr>
            <w:webHidden/>
          </w:rPr>
          <w:t>19</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95" w:history="1">
        <w:r>
          <w:rPr>
            <w:rStyle w:val="Hyperlink"/>
            <w14:scene3d>
              <w14:camera w14:prst="orthographicFront"/>
              <w14:lightRig w14:rig="threePt" w14:dir="t">
                <w14:rot w14:lat="0" w14:lon="0" w14:rev="0"/>
              </w14:lightRig>
            </w14:scene3d>
          </w:rPr>
          <w:t>5.11</w:t>
        </w:r>
        <w:r>
          <w:rPr>
            <w:rFonts w:asciiTheme="minorHAnsi" w:eastAsiaTheme="minorEastAsia" w:hAnsiTheme="minorHAnsi" w:cstheme="minorBidi"/>
            <w:b w:val="0"/>
            <w:sz w:val="22"/>
            <w:szCs w:val="22"/>
            <w:lang w:eastAsia="de-DE"/>
          </w:rPr>
          <w:tab/>
        </w:r>
        <w:r>
          <w:rPr>
            <w:rStyle w:val="Hyperlink"/>
          </w:rPr>
          <w:t>Datenschutz / IT-Sicherheit</w:t>
        </w:r>
        <w:r>
          <w:rPr>
            <w:webHidden/>
          </w:rPr>
          <w:tab/>
        </w:r>
        <w:r>
          <w:rPr>
            <w:webHidden/>
          </w:rPr>
          <w:fldChar w:fldCharType="begin"/>
        </w:r>
        <w:r>
          <w:rPr>
            <w:webHidden/>
          </w:rPr>
          <w:instrText xml:space="preserve"> PAGEREF _Toc238039295 \h </w:instrText>
        </w:r>
        <w:r>
          <w:rPr>
            <w:webHidden/>
          </w:rPr>
        </w:r>
        <w:r>
          <w:rPr>
            <w:webHidden/>
          </w:rPr>
          <w:fldChar w:fldCharType="separate"/>
        </w:r>
        <w:r>
          <w:rPr>
            <w:webHidden/>
          </w:rPr>
          <w:t>19</w:t>
        </w:r>
        <w:r>
          <w:rPr>
            <w:webHidden/>
          </w:rPr>
          <w:fldChar w:fldCharType="end"/>
        </w:r>
      </w:hyperlink>
    </w:p>
    <w:p>
      <w:pPr>
        <w:pStyle w:val="Verzeichnis2"/>
        <w:rPr>
          <w:rFonts w:asciiTheme="minorHAnsi" w:eastAsiaTheme="minorEastAsia" w:hAnsiTheme="minorHAnsi" w:cstheme="minorBidi"/>
          <w:b w:val="0"/>
          <w:sz w:val="22"/>
          <w:szCs w:val="22"/>
          <w:lang w:eastAsia="de-DE"/>
        </w:rPr>
      </w:pPr>
      <w:hyperlink w:anchor="_Toc238039296" w:history="1">
        <w:r>
          <w:rPr>
            <w:rStyle w:val="Hyperlink"/>
            <w14:scene3d>
              <w14:camera w14:prst="orthographicFront"/>
              <w14:lightRig w14:rig="threePt" w14:dir="t">
                <w14:rot w14:lat="0" w14:lon="0" w14:rev="0"/>
              </w14:lightRig>
            </w14:scene3d>
          </w:rPr>
          <w:t>5.12</w:t>
        </w:r>
        <w:r>
          <w:rPr>
            <w:rFonts w:asciiTheme="minorHAnsi" w:eastAsiaTheme="minorEastAsia" w:hAnsiTheme="minorHAnsi" w:cstheme="minorBidi"/>
            <w:b w:val="0"/>
            <w:sz w:val="22"/>
            <w:szCs w:val="22"/>
            <w:lang w:eastAsia="de-DE"/>
          </w:rPr>
          <w:tab/>
        </w:r>
        <w:r>
          <w:rPr>
            <w:rStyle w:val="Hyperlink"/>
          </w:rPr>
          <w:t>Salvatorische Klausel</w:t>
        </w:r>
        <w:r>
          <w:rPr>
            <w:webHidden/>
          </w:rPr>
          <w:tab/>
        </w:r>
        <w:r>
          <w:rPr>
            <w:webHidden/>
          </w:rPr>
          <w:fldChar w:fldCharType="begin"/>
        </w:r>
        <w:r>
          <w:rPr>
            <w:webHidden/>
          </w:rPr>
          <w:instrText xml:space="preserve"> PAGEREF _Toc238039296 \h </w:instrText>
        </w:r>
        <w:r>
          <w:rPr>
            <w:webHidden/>
          </w:rPr>
        </w:r>
        <w:r>
          <w:rPr>
            <w:webHidden/>
          </w:rPr>
          <w:fldChar w:fldCharType="separate"/>
        </w:r>
        <w:r>
          <w:rPr>
            <w:webHidden/>
          </w:rPr>
          <w:t>19</w:t>
        </w:r>
        <w:r>
          <w:rPr>
            <w:webHidden/>
          </w:rPr>
          <w:fldChar w:fldCharType="end"/>
        </w:r>
      </w:hyperlink>
    </w:p>
    <w:p>
      <w:pPr>
        <w:pStyle w:val="Verzeichnis1"/>
        <w:rPr>
          <w:rFonts w:asciiTheme="minorHAnsi" w:eastAsiaTheme="minorEastAsia" w:hAnsiTheme="minorHAnsi" w:cstheme="minorBidi"/>
          <w:b w:val="0"/>
          <w:sz w:val="22"/>
          <w:szCs w:val="22"/>
          <w:lang w:eastAsia="de-DE"/>
        </w:rPr>
      </w:pPr>
      <w:hyperlink w:anchor="_Toc238039297" w:history="1">
        <w:r>
          <w:rPr>
            <w:rStyle w:val="Hyperlink"/>
          </w:rPr>
          <w:t>6</w:t>
        </w:r>
        <w:r>
          <w:rPr>
            <w:rFonts w:asciiTheme="minorHAnsi" w:eastAsiaTheme="minorEastAsia" w:hAnsiTheme="minorHAnsi" w:cstheme="minorBidi"/>
            <w:b w:val="0"/>
            <w:sz w:val="22"/>
            <w:szCs w:val="22"/>
            <w:lang w:eastAsia="de-DE"/>
          </w:rPr>
          <w:tab/>
        </w:r>
        <w:r>
          <w:rPr>
            <w:rStyle w:val="Hyperlink"/>
          </w:rPr>
          <w:t>Kriterienkatalog</w:t>
        </w:r>
        <w:r>
          <w:rPr>
            <w:webHidden/>
          </w:rPr>
          <w:tab/>
        </w:r>
        <w:r>
          <w:rPr>
            <w:webHidden/>
          </w:rPr>
          <w:fldChar w:fldCharType="begin"/>
        </w:r>
        <w:r>
          <w:rPr>
            <w:webHidden/>
          </w:rPr>
          <w:instrText xml:space="preserve"> PAGEREF _Toc238039297 \h </w:instrText>
        </w:r>
        <w:r>
          <w:rPr>
            <w:webHidden/>
          </w:rPr>
        </w:r>
        <w:r>
          <w:rPr>
            <w:webHidden/>
          </w:rPr>
          <w:fldChar w:fldCharType="separate"/>
        </w:r>
        <w:r>
          <w:rPr>
            <w:webHidden/>
          </w:rPr>
          <w:t>20</w:t>
        </w:r>
        <w:r>
          <w:rPr>
            <w:webHidden/>
          </w:rPr>
          <w:fldChar w:fldCharType="end"/>
        </w:r>
      </w:hyperlink>
    </w:p>
    <w:p>
      <w:pPr>
        <w:pStyle w:val="Verzeichnis1"/>
        <w:rPr>
          <w:rFonts w:asciiTheme="minorHAnsi" w:eastAsiaTheme="minorEastAsia" w:hAnsiTheme="minorHAnsi" w:cstheme="minorBidi"/>
          <w:b w:val="0"/>
          <w:sz w:val="22"/>
          <w:szCs w:val="22"/>
          <w:lang w:eastAsia="de-DE"/>
        </w:rPr>
      </w:pPr>
      <w:hyperlink w:anchor="_Toc238039298" w:history="1">
        <w:r>
          <w:rPr>
            <w:rStyle w:val="Hyperlink"/>
            <w:rFonts w:cs="Arial"/>
          </w:rPr>
          <w:t>7</w:t>
        </w:r>
        <w:r>
          <w:rPr>
            <w:rFonts w:asciiTheme="minorHAnsi" w:eastAsiaTheme="minorEastAsia" w:hAnsiTheme="minorHAnsi" w:cstheme="minorBidi"/>
            <w:b w:val="0"/>
            <w:sz w:val="22"/>
            <w:szCs w:val="22"/>
            <w:lang w:eastAsia="de-DE"/>
          </w:rPr>
          <w:tab/>
        </w:r>
        <w:r>
          <w:rPr>
            <w:rStyle w:val="Hyperlink"/>
            <w:rFonts w:cs="Arial"/>
          </w:rPr>
          <w:t>Preisblatt</w:t>
        </w:r>
        <w:r>
          <w:rPr>
            <w:webHidden/>
          </w:rPr>
          <w:tab/>
        </w:r>
        <w:r>
          <w:rPr>
            <w:webHidden/>
          </w:rPr>
          <w:fldChar w:fldCharType="begin"/>
        </w:r>
        <w:r>
          <w:rPr>
            <w:webHidden/>
          </w:rPr>
          <w:instrText xml:space="preserve"> PAGEREF _Toc238039298 \h </w:instrText>
        </w:r>
        <w:r>
          <w:rPr>
            <w:webHidden/>
          </w:rPr>
        </w:r>
        <w:r>
          <w:rPr>
            <w:webHidden/>
          </w:rPr>
          <w:fldChar w:fldCharType="separate"/>
        </w:r>
        <w:r>
          <w:rPr>
            <w:webHidden/>
          </w:rPr>
          <w:t>22</w:t>
        </w:r>
        <w:r>
          <w:rPr>
            <w:webHidden/>
          </w:rPr>
          <w:fldChar w:fldCharType="end"/>
        </w:r>
      </w:hyperlink>
    </w:p>
    <w:p>
      <w:pPr>
        <w:pStyle w:val="Verzeichnis1"/>
        <w:rPr>
          <w:rFonts w:asciiTheme="minorHAnsi" w:eastAsiaTheme="minorEastAsia" w:hAnsiTheme="minorHAnsi" w:cstheme="minorBidi"/>
          <w:b w:val="0"/>
          <w:sz w:val="22"/>
          <w:szCs w:val="22"/>
          <w:lang w:eastAsia="de-DE"/>
        </w:rPr>
      </w:pPr>
      <w:hyperlink w:anchor="_Toc238039299" w:history="1">
        <w:r>
          <w:rPr>
            <w:rStyle w:val="Hyperlink"/>
            <w:rFonts w:cs="Arial"/>
          </w:rPr>
          <w:t>8</w:t>
        </w:r>
        <w:r>
          <w:rPr>
            <w:rFonts w:asciiTheme="minorHAnsi" w:eastAsiaTheme="minorEastAsia" w:hAnsiTheme="minorHAnsi" w:cstheme="minorBidi"/>
            <w:b w:val="0"/>
            <w:sz w:val="22"/>
            <w:szCs w:val="22"/>
            <w:lang w:eastAsia="de-DE"/>
          </w:rPr>
          <w:tab/>
        </w:r>
        <w:r>
          <w:rPr>
            <w:rStyle w:val="Hyperlink"/>
            <w:rFonts w:cs="Arial"/>
          </w:rPr>
          <w:t>Anlagen</w:t>
        </w:r>
        <w:r>
          <w:rPr>
            <w:webHidden/>
          </w:rPr>
          <w:tab/>
        </w:r>
        <w:r>
          <w:rPr>
            <w:webHidden/>
          </w:rPr>
          <w:fldChar w:fldCharType="begin"/>
        </w:r>
        <w:r>
          <w:rPr>
            <w:webHidden/>
          </w:rPr>
          <w:instrText xml:space="preserve"> PAGEREF _Toc238039299 \h </w:instrText>
        </w:r>
        <w:r>
          <w:rPr>
            <w:webHidden/>
          </w:rPr>
        </w:r>
        <w:r>
          <w:rPr>
            <w:webHidden/>
          </w:rPr>
          <w:fldChar w:fldCharType="separate"/>
        </w:r>
        <w:r>
          <w:rPr>
            <w:webHidden/>
          </w:rPr>
          <w:t>23</w:t>
        </w:r>
        <w:r>
          <w:rPr>
            <w:webHidden/>
          </w:rPr>
          <w:fldChar w:fldCharType="end"/>
        </w:r>
      </w:hyperlink>
    </w:p>
    <w:p>
      <w:pPr>
        <w:pStyle w:val="berschrift1"/>
        <w:rPr>
          <w:rFonts w:cs="Arial"/>
          <w:bCs/>
        </w:rPr>
      </w:pPr>
      <w:r>
        <w:rPr>
          <w:rFonts w:cs="Arial"/>
          <w:bCs/>
          <w:highlight w:val="yellow"/>
        </w:rPr>
        <w:lastRenderedPageBreak/>
        <w:fldChar w:fldCharType="end"/>
      </w:r>
      <w:bookmarkStart w:id="1" w:name="_Toc238039252"/>
      <w:r>
        <w:rPr>
          <w:rFonts w:cs="Arial"/>
          <w:bCs/>
        </w:rPr>
        <w:t>Einführung und Zielsetzung</w:t>
      </w:r>
      <w:bookmarkEnd w:id="1"/>
    </w:p>
    <w:p>
      <w:pPr>
        <w:pStyle w:val="Textkrper"/>
        <w:spacing w:line="360" w:lineRule="auto"/>
        <w:ind w:left="112" w:right="270"/>
        <w:jc w:val="both"/>
        <w:rPr>
          <w:rFonts w:ascii="Arial" w:hAnsi="Arial"/>
          <w:color w:val="auto"/>
        </w:rPr>
      </w:pPr>
      <w:r>
        <w:rPr>
          <w:rFonts w:ascii="Arial" w:hAnsi="Arial"/>
          <w:color w:val="auto"/>
        </w:rPr>
        <w:t>Die Stadtverwaltung Ludwigshafen am Rhein setzt für die Bürokommunikation HCL Domino ein. Darüber hinaus stehen diverse Informations- und Projektdatenbanken zur Verfügung. Die Verwaltung besitzt die Nutzungsrechte an 4.715 HCL Domino CCB-Lizenzen. Um zur Sicherstellung des laufenden Betriebes alle Services des Herstellers in Anspruch nehmen zu können, ist eine Verlängerung des Supports für 12 Monate der bisherigen Lizenzen notwendig.</w:t>
      </w:r>
    </w:p>
    <w:p>
      <w:pPr>
        <w:pStyle w:val="Textkrper"/>
        <w:spacing w:before="5" w:line="360" w:lineRule="auto"/>
        <w:jc w:val="both"/>
        <w:rPr>
          <w:rFonts w:ascii="Arial" w:hAnsi="Arial"/>
          <w:color w:val="auto"/>
        </w:rPr>
      </w:pPr>
    </w:p>
    <w:p>
      <w:pPr>
        <w:pStyle w:val="Textkrper"/>
        <w:spacing w:line="360" w:lineRule="auto"/>
        <w:ind w:left="112" w:right="273"/>
        <w:jc w:val="both"/>
        <w:rPr>
          <w:rFonts w:ascii="Arial" w:hAnsi="Arial"/>
          <w:color w:val="auto"/>
        </w:rPr>
      </w:pPr>
      <w:r>
        <w:rPr>
          <w:rFonts w:ascii="Arial" w:hAnsi="Arial"/>
          <w:color w:val="auto"/>
        </w:rPr>
        <w:t>Es ist daher beabsichtigt, die im Kriterienkatalog (siehe Ziffer 6 der Vergabe- und Vertragsunterlagen) genannten Leistungen zu vergeben.</w:t>
      </w:r>
    </w:p>
    <w:p>
      <w:pPr>
        <w:spacing w:after="240" w:line="360" w:lineRule="auto"/>
        <w:jc w:val="both"/>
        <w:rPr>
          <w:highlight w:val="yellow"/>
        </w:rPr>
      </w:pPr>
    </w:p>
    <w:p>
      <w:pPr>
        <w:spacing w:after="240" w:line="360" w:lineRule="auto"/>
        <w:jc w:val="both"/>
        <w:rPr>
          <w:highlight w:val="yellow"/>
        </w:rPr>
      </w:pPr>
    </w:p>
    <w:p>
      <w:pPr>
        <w:spacing w:after="240" w:line="360" w:lineRule="auto"/>
        <w:jc w:val="both"/>
        <w:rPr>
          <w:highlight w:val="yellow"/>
        </w:rPr>
      </w:pPr>
    </w:p>
    <w:p>
      <w:pPr>
        <w:pStyle w:val="berschrift1"/>
        <w:rPr>
          <w:rFonts w:cs="Arial"/>
        </w:rPr>
      </w:pPr>
      <w:bookmarkStart w:id="2" w:name="_Toc238039253"/>
      <w:r>
        <w:rPr>
          <w:rFonts w:cs="Arial"/>
        </w:rPr>
        <w:lastRenderedPageBreak/>
        <w:t>Verfahrensgrundlagen</w:t>
      </w:r>
      <w:bookmarkEnd w:id="2"/>
    </w:p>
    <w:p>
      <w:pPr>
        <w:pStyle w:val="berschrift2"/>
        <w:tabs>
          <w:tab w:val="left" w:pos="1843"/>
        </w:tabs>
      </w:pPr>
      <w:bookmarkStart w:id="3" w:name="_Toc6382931"/>
      <w:bookmarkStart w:id="4" w:name="_Toc238039254"/>
      <w:r>
        <w:t>Verfahrensart</w:t>
      </w:r>
      <w:bookmarkEnd w:id="3"/>
      <w:bookmarkEnd w:id="4"/>
    </w:p>
    <w:p>
      <w:pPr>
        <w:spacing w:after="240" w:line="360" w:lineRule="auto"/>
        <w:jc w:val="both"/>
      </w:pPr>
      <w:r>
        <w:t>Das Vergabeverfahren wird nach § 14 Abs. 2 VgV i.V. m. § 15 VgV als Offenes Verfahren durchgeführt. Die Auftraggeberin beabsichtigt, die in der Leistungsbeschreibung, im Kriterienkatalog sowie in den übrigen anliegenden Dokumenten näher beschriebene Leistung zu vergeben.</w:t>
      </w:r>
    </w:p>
    <w:p>
      <w:pPr>
        <w:pStyle w:val="berschrift2"/>
        <w:tabs>
          <w:tab w:val="left" w:pos="1843"/>
        </w:tabs>
      </w:pPr>
      <w:bookmarkStart w:id="5" w:name="_Toc6382933"/>
      <w:bookmarkStart w:id="6" w:name="_Toc238039255"/>
      <w:r>
        <w:t>Zuständige Stelle für behauptete Vergabeverstöße</w:t>
      </w:r>
      <w:bookmarkEnd w:id="5"/>
      <w:bookmarkEnd w:id="6"/>
    </w:p>
    <w:p>
      <w:pPr>
        <w:autoSpaceDE w:val="0"/>
        <w:autoSpaceDN w:val="0"/>
        <w:adjustRightInd w:val="0"/>
        <w:spacing w:after="240" w:line="360" w:lineRule="auto"/>
        <w:rPr>
          <w:rFonts w:cs="Arial"/>
          <w:szCs w:val="22"/>
          <w:lang w:eastAsia="de-DE"/>
        </w:rPr>
      </w:pPr>
      <w:r>
        <w:rPr>
          <w:rFonts w:cs="Arial"/>
          <w:szCs w:val="22"/>
          <w:lang w:eastAsia="de-DE"/>
        </w:rPr>
        <w:t>Behörde, an die sich der Bieter zur Nachprüfung behaupteter Verstöße gegen die Vergabebestimmungen wenden kann:</w:t>
      </w:r>
    </w:p>
    <w:p>
      <w:pPr>
        <w:autoSpaceDE w:val="0"/>
        <w:autoSpaceDN w:val="0"/>
        <w:adjustRightInd w:val="0"/>
        <w:spacing w:line="360" w:lineRule="auto"/>
        <w:jc w:val="center"/>
        <w:rPr>
          <w:rFonts w:cs="Arial"/>
          <w:szCs w:val="22"/>
          <w:lang w:eastAsia="de-DE"/>
        </w:rPr>
      </w:pPr>
      <w:r>
        <w:rPr>
          <w:rFonts w:cs="Arial"/>
          <w:szCs w:val="22"/>
          <w:lang w:eastAsia="de-DE"/>
        </w:rPr>
        <w:t>Ministerium für Wirtschaft, Tourismus, Energie und Klima</w:t>
      </w:r>
      <w:r>
        <w:rPr>
          <w:rFonts w:cs="Arial"/>
          <w:szCs w:val="22"/>
          <w:lang w:eastAsia="de-DE"/>
        </w:rPr>
        <w:br/>
        <w:t>- Vergabekammer –</w:t>
      </w:r>
    </w:p>
    <w:p>
      <w:pPr>
        <w:autoSpaceDE w:val="0"/>
        <w:autoSpaceDN w:val="0"/>
        <w:adjustRightInd w:val="0"/>
        <w:spacing w:line="360" w:lineRule="auto"/>
        <w:jc w:val="center"/>
        <w:rPr>
          <w:rFonts w:cs="Arial"/>
          <w:szCs w:val="22"/>
          <w:lang w:eastAsia="de-DE"/>
        </w:rPr>
      </w:pPr>
      <w:r>
        <w:rPr>
          <w:rFonts w:cs="Arial"/>
          <w:szCs w:val="22"/>
          <w:lang w:eastAsia="de-DE"/>
        </w:rPr>
        <w:t>Stiftsstraße 9, 55116 Mainz</w:t>
      </w:r>
    </w:p>
    <w:p>
      <w:pPr>
        <w:autoSpaceDE w:val="0"/>
        <w:autoSpaceDN w:val="0"/>
        <w:adjustRightInd w:val="0"/>
        <w:spacing w:line="360" w:lineRule="auto"/>
        <w:jc w:val="center"/>
        <w:rPr>
          <w:rFonts w:cs="Arial"/>
          <w:szCs w:val="22"/>
          <w:lang w:eastAsia="de-DE"/>
        </w:rPr>
      </w:pPr>
      <w:r>
        <w:rPr>
          <w:rFonts w:cs="Arial"/>
          <w:szCs w:val="22"/>
          <w:lang w:eastAsia="de-DE"/>
        </w:rPr>
        <w:t>Telefon: +49 (0)6131 16-2234</w:t>
      </w:r>
    </w:p>
    <w:p>
      <w:pPr>
        <w:autoSpaceDE w:val="0"/>
        <w:autoSpaceDN w:val="0"/>
        <w:adjustRightInd w:val="0"/>
        <w:spacing w:line="360" w:lineRule="auto"/>
        <w:jc w:val="center"/>
        <w:rPr>
          <w:rFonts w:cs="Arial"/>
          <w:szCs w:val="22"/>
          <w:lang w:eastAsia="de-DE"/>
        </w:rPr>
      </w:pPr>
      <w:r>
        <w:rPr>
          <w:rFonts w:cs="Arial"/>
          <w:szCs w:val="22"/>
          <w:lang w:eastAsia="de-DE"/>
        </w:rPr>
        <w:t>Fax: +49 (0)6131 16-2113</w:t>
      </w:r>
    </w:p>
    <w:p>
      <w:pPr>
        <w:autoSpaceDE w:val="0"/>
        <w:autoSpaceDN w:val="0"/>
        <w:adjustRightInd w:val="0"/>
        <w:spacing w:line="360" w:lineRule="auto"/>
        <w:jc w:val="center"/>
        <w:rPr>
          <w:rFonts w:ascii="Helvetica" w:hAnsi="Helvetica" w:cs="Helvetica"/>
          <w:sz w:val="20"/>
          <w:lang w:eastAsia="de-DE"/>
        </w:rPr>
      </w:pPr>
      <w:r>
        <w:rPr>
          <w:rFonts w:cs="Arial"/>
          <w:szCs w:val="22"/>
          <w:lang w:eastAsia="de-DE"/>
        </w:rPr>
        <w:t xml:space="preserve">Internet-Adresse: </w:t>
      </w:r>
      <w:hyperlink r:id="rId8" w:history="1">
        <w:r>
          <w:rPr>
            <w:rStyle w:val="Hyperlink"/>
          </w:rPr>
          <w:t>https://mwtek.rlp.de/ministerium/zugeordnete-institutionen-1/vergabekammer</w:t>
        </w:r>
      </w:hyperlink>
    </w:p>
    <w:p>
      <w:pPr>
        <w:pStyle w:val="BasisabsatzCharChar"/>
        <w:ind w:left="0"/>
        <w:jc w:val="center"/>
        <w:rPr>
          <w:rStyle w:val="Hyperlink"/>
        </w:rPr>
      </w:pPr>
      <w:r>
        <w:rPr>
          <w:rFonts w:cs="Arial"/>
          <w:szCs w:val="22"/>
          <w:lang w:eastAsia="de-DE"/>
        </w:rPr>
        <w:t xml:space="preserve">E-Mail: </w:t>
      </w:r>
      <w:hyperlink r:id="rId9" w:history="1">
        <w:r>
          <w:rPr>
            <w:rStyle w:val="Hyperlink"/>
          </w:rPr>
          <w:t>vergabekammer.rlp(at)mwvlw.rlp.de</w:t>
        </w:r>
      </w:hyperlink>
    </w:p>
    <w:p>
      <w:pPr>
        <w:pStyle w:val="berschrift2"/>
        <w:tabs>
          <w:tab w:val="left" w:pos="1843"/>
        </w:tabs>
        <w:rPr>
          <w:rFonts w:cs="Arial"/>
        </w:rPr>
      </w:pPr>
      <w:bookmarkStart w:id="7" w:name="_Toc110309902"/>
      <w:bookmarkStart w:id="8" w:name="_Toc238039256"/>
      <w:bookmarkStart w:id="9" w:name="_Toc68331756"/>
      <w:bookmarkEnd w:id="7"/>
      <w:r>
        <w:rPr>
          <w:rFonts w:cs="Arial"/>
        </w:rPr>
        <w:t>Terminplan</w:t>
      </w:r>
      <w:bookmarkEnd w:id="8"/>
    </w:p>
    <w:p>
      <w:pPr>
        <w:pStyle w:val="berschrift3"/>
        <w:tabs>
          <w:tab w:val="num" w:pos="1985"/>
        </w:tabs>
        <w:ind w:left="1985" w:hanging="851"/>
        <w:rPr>
          <w:rFonts w:cs="Arial"/>
        </w:rPr>
      </w:pPr>
      <w:bookmarkStart w:id="10" w:name="_Toc238039257"/>
      <w:r>
        <w:rPr>
          <w:rFonts w:cs="Arial"/>
        </w:rPr>
        <w:t>Frist für das Stellen von Fragen zum Vergabeverfahren</w:t>
      </w:r>
      <w:bookmarkEnd w:id="10"/>
    </w:p>
    <w:p>
      <w:pPr>
        <w:pStyle w:val="BasisabsatzCharChar"/>
        <w:ind w:left="0"/>
        <w:rPr>
          <w:rFonts w:cs="Arial"/>
          <w:szCs w:val="22"/>
        </w:rPr>
      </w:pPr>
      <w:r>
        <w:rPr>
          <w:rFonts w:cs="Arial"/>
          <w:szCs w:val="22"/>
        </w:rPr>
        <w:t xml:space="preserve">Fragen, die mit dem Vergabeverfahren im Zusammenhang stehen, müssen </w:t>
      </w:r>
      <w:r>
        <w:rPr>
          <w:rStyle w:val="Hyperlink"/>
          <w:rFonts w:cs="Arial"/>
          <w:bCs/>
          <w:color w:val="auto"/>
          <w:szCs w:val="22"/>
          <w:u w:val="none"/>
        </w:rPr>
        <w:t xml:space="preserve">über das „Bietercockpit“ der Vergabeplattform </w:t>
      </w:r>
      <w:r>
        <w:rPr>
          <w:rFonts w:cs="Arial"/>
          <w:szCs w:val="22"/>
        </w:rPr>
        <w:t xml:space="preserve">bis zum </w:t>
      </w:r>
      <w:r>
        <w:rPr>
          <w:rFonts w:cs="Arial"/>
          <w:b/>
          <w:szCs w:val="22"/>
          <w:u w:val="single"/>
        </w:rPr>
        <w:t>11.09.2026</w:t>
      </w:r>
      <w:r>
        <w:rPr>
          <w:rFonts w:cs="Arial"/>
          <w:szCs w:val="22"/>
        </w:rPr>
        <w:t xml:space="preserve"> gestellt werden. Die ausschreibende Stelle behält sich vor, Anfragen, die später eingehen, im Einzelfall als „nicht rechtzeitig“ eingegangen zu behandeln und nicht mehr zu beantworten.</w:t>
      </w:r>
    </w:p>
    <w:p>
      <w:pPr>
        <w:pStyle w:val="BasisabsatzCharChar"/>
        <w:ind w:left="0"/>
        <w:rPr>
          <w:rFonts w:cs="Arial"/>
        </w:rPr>
      </w:pPr>
      <w:r>
        <w:rPr>
          <w:rFonts w:cs="Arial"/>
        </w:rPr>
        <w:t xml:space="preserve">Dabei ist auf die Vergabenummer </w:t>
      </w:r>
      <w:r>
        <w:rPr>
          <w:rFonts w:cs="Arial"/>
          <w:b/>
        </w:rPr>
        <w:t>2026 / 247</w:t>
      </w:r>
      <w:r>
        <w:rPr>
          <w:rFonts w:cs="Arial"/>
        </w:rPr>
        <w:t xml:space="preserve"> der Stadtverwaltung Ludwigshafen am Rhein und die betroffene Ziffer des jeweiligen Dokuments Bezug zu nehmen.</w:t>
      </w:r>
    </w:p>
    <w:p>
      <w:pPr>
        <w:pStyle w:val="BasisabsatzCharChar"/>
        <w:ind w:left="0"/>
        <w:rPr>
          <w:rFonts w:cs="Arial"/>
        </w:rPr>
      </w:pPr>
      <w:r>
        <w:rPr>
          <w:rFonts w:cs="Arial"/>
        </w:rPr>
        <w:t xml:space="preserve">Fragen zum Vergabeverfahren und die darauf erteilten Antworten sowie zusätzliche Auskünfte und Erklärungen werden auf der Vergabeplattform </w:t>
      </w:r>
      <w:hyperlink r:id="rId10" w:history="1">
        <w:r>
          <w:rPr>
            <w:rStyle w:val="Hyperlink"/>
            <w:rFonts w:cs="Arial"/>
            <w:bCs/>
          </w:rPr>
          <w:t>www.auftragsboerse.de</w:t>
        </w:r>
      </w:hyperlink>
      <w:r>
        <w:rPr>
          <w:rFonts w:cs="Arial"/>
        </w:rPr>
        <w:t xml:space="preserve"> bekanntgegeben.</w:t>
      </w:r>
    </w:p>
    <w:p>
      <w:pPr>
        <w:autoSpaceDE w:val="0"/>
        <w:autoSpaceDN w:val="0"/>
        <w:adjustRightInd w:val="0"/>
        <w:spacing w:line="360" w:lineRule="auto"/>
        <w:jc w:val="both"/>
        <w:rPr>
          <w:rFonts w:cs="Arial"/>
          <w:color w:val="000000"/>
          <w:szCs w:val="22"/>
          <w:lang w:eastAsia="de-DE"/>
        </w:rPr>
      </w:pPr>
      <w:r>
        <w:rPr>
          <w:rFonts w:cs="Arial"/>
          <w:color w:val="000000"/>
          <w:szCs w:val="22"/>
          <w:lang w:eastAsia="de-DE"/>
        </w:rPr>
        <w:t xml:space="preserve">Die Kommunikation während des Vergabeverfahrens erfolgt über </w:t>
      </w:r>
      <w:hyperlink r:id="rId11" w:history="1">
        <w:r>
          <w:rPr>
            <w:rStyle w:val="Hyperlink"/>
            <w:rFonts w:cs="Arial"/>
            <w:szCs w:val="22"/>
            <w:lang w:eastAsia="de-DE"/>
          </w:rPr>
          <w:t>www.auftragsboerse.de</w:t>
        </w:r>
      </w:hyperlink>
      <w:r>
        <w:rPr>
          <w:rFonts w:cs="Arial"/>
          <w:color w:val="000000"/>
          <w:szCs w:val="22"/>
          <w:lang w:eastAsia="de-DE"/>
        </w:rPr>
        <w:t xml:space="preserve">. Hier steht den Bietern nach der kostenfreien Registrierung ein Nachrichtentool zur Verfügung, über das </w:t>
      </w:r>
      <w:r>
        <w:rPr>
          <w:rFonts w:cs="Arial"/>
          <w:color w:val="000000"/>
          <w:szCs w:val="22"/>
          <w:lang w:eastAsia="de-DE"/>
        </w:rPr>
        <w:lastRenderedPageBreak/>
        <w:t xml:space="preserve">Nachrichten an die Vergabestelle gesendet und von dieser empfangen werden können. Das vergaberechtlich geforderte Verschlüsselungsniveau ist darüber gewährleistet. </w:t>
      </w:r>
      <w:r>
        <w:rPr>
          <w:rFonts w:cs="Arial"/>
          <w:szCs w:val="22"/>
          <w:lang w:eastAsia="de-DE"/>
        </w:rPr>
        <w:t>Die Bieter haben eigenverantwortlich darauf zu achten, dass Sie sich kostenfrei registrieren und eine E-Mailadresse hinterlegen. Die Bieter müssen sich eigenverantwortlich über den möglichen Stand der Bieterfragen und ggfs. Änderungen an den Vergabeunterlagen auf der genannten Plattform informieren und die Bieterrundschreiben herunterladen.</w:t>
      </w:r>
    </w:p>
    <w:p>
      <w:pPr>
        <w:pStyle w:val="berschrift3"/>
        <w:tabs>
          <w:tab w:val="num" w:pos="1985"/>
        </w:tabs>
        <w:ind w:left="1985" w:hanging="851"/>
        <w:rPr>
          <w:rFonts w:cs="Arial"/>
        </w:rPr>
      </w:pPr>
      <w:bookmarkStart w:id="11" w:name="_Toc6382936"/>
      <w:bookmarkStart w:id="12" w:name="_Toc238039258"/>
      <w:r>
        <w:rPr>
          <w:rFonts w:cs="Arial"/>
        </w:rPr>
        <w:t>Frist zur Abgabe der Angebote</w:t>
      </w:r>
      <w:bookmarkEnd w:id="11"/>
      <w:bookmarkEnd w:id="12"/>
    </w:p>
    <w:p>
      <w:pPr>
        <w:tabs>
          <w:tab w:val="left" w:pos="1843"/>
        </w:tabs>
        <w:spacing w:after="120" w:line="360" w:lineRule="auto"/>
        <w:jc w:val="both"/>
        <w:rPr>
          <w:rFonts w:cs="Arial"/>
          <w:bCs/>
        </w:rPr>
      </w:pPr>
      <w:r>
        <w:rPr>
          <w:rFonts w:cs="Arial"/>
          <w:bCs/>
        </w:rPr>
        <w:t xml:space="preserve">Die Angebote, einschließlich aller Unterlagen, müssen spätestens bis zum </w:t>
      </w:r>
    </w:p>
    <w:p>
      <w:pPr>
        <w:tabs>
          <w:tab w:val="left" w:pos="1843"/>
          <w:tab w:val="left" w:pos="2835"/>
        </w:tabs>
        <w:spacing w:after="120" w:line="360" w:lineRule="auto"/>
        <w:ind w:left="284"/>
        <w:jc w:val="center"/>
        <w:rPr>
          <w:rFonts w:cs="Arial"/>
          <w:b/>
          <w:bCs/>
        </w:rPr>
      </w:pPr>
      <w:r>
        <w:rPr>
          <w:rFonts w:cs="Arial"/>
          <w:b/>
          <w:bCs/>
        </w:rPr>
        <w:t>29.09.2026</w:t>
      </w:r>
    </w:p>
    <w:p>
      <w:pPr>
        <w:tabs>
          <w:tab w:val="left" w:pos="1843"/>
          <w:tab w:val="left" w:pos="2835"/>
        </w:tabs>
        <w:spacing w:after="120" w:line="360" w:lineRule="auto"/>
        <w:ind w:left="284"/>
        <w:jc w:val="center"/>
        <w:rPr>
          <w:rFonts w:cs="Arial"/>
          <w:b/>
          <w:bCs/>
        </w:rPr>
      </w:pPr>
      <w:r>
        <w:rPr>
          <w:rFonts w:cs="Arial"/>
          <w:b/>
          <w:bCs/>
        </w:rPr>
        <w:t>10:00 Uhr</w:t>
      </w:r>
    </w:p>
    <w:p>
      <w:pPr>
        <w:autoSpaceDE w:val="0"/>
        <w:autoSpaceDN w:val="0"/>
        <w:adjustRightInd w:val="0"/>
        <w:spacing w:after="240" w:line="360" w:lineRule="auto"/>
        <w:jc w:val="both"/>
        <w:rPr>
          <w:rFonts w:cs="Arial"/>
          <w:bCs/>
        </w:rPr>
      </w:pPr>
      <w:r>
        <w:rPr>
          <w:rFonts w:cs="Arial"/>
          <w:bCs/>
        </w:rPr>
        <w:t xml:space="preserve">in elektronischer Form über </w:t>
      </w:r>
      <w:hyperlink r:id="rId12" w:history="1">
        <w:r>
          <w:rPr>
            <w:rStyle w:val="Hyperlink"/>
            <w:rFonts w:cs="Arial"/>
            <w:bCs/>
          </w:rPr>
          <w:t>www.auftragsboerse.de</w:t>
        </w:r>
      </w:hyperlink>
      <w:r>
        <w:rPr>
          <w:rFonts w:cs="Arial"/>
          <w:bCs/>
        </w:rPr>
        <w:t xml:space="preserve"> abgegeben werden. </w:t>
      </w:r>
    </w:p>
    <w:p>
      <w:pPr>
        <w:tabs>
          <w:tab w:val="left" w:pos="1843"/>
          <w:tab w:val="left" w:pos="2835"/>
        </w:tabs>
        <w:spacing w:after="120" w:line="360" w:lineRule="auto"/>
        <w:jc w:val="both"/>
        <w:rPr>
          <w:rFonts w:cs="Arial"/>
        </w:rPr>
      </w:pPr>
      <w:r>
        <w:rPr>
          <w:rFonts w:cs="Arial"/>
          <w:bCs/>
        </w:rPr>
        <w:t xml:space="preserve">Angebote, die bis zu diesem Termin nicht vorliegen, werden nicht berücksichtigt, es sei denn, der </w:t>
      </w:r>
      <w:r>
        <w:rPr>
          <w:rFonts w:cs="Arial"/>
          <w:szCs w:val="22"/>
          <w:lang w:eastAsia="de-DE"/>
        </w:rPr>
        <w:t>Bieter</w:t>
      </w:r>
      <w:r>
        <w:rPr>
          <w:rFonts w:cs="Arial"/>
          <w:bCs/>
        </w:rPr>
        <w:t xml:space="preserve"> weist im Falle des verspäteten Eingangs nach, dass er die Verspätung nicht zu vertreten hat (vgl. </w:t>
      </w:r>
      <w:r>
        <w:rPr>
          <w:rFonts w:cs="Arial"/>
        </w:rPr>
        <w:t>§ 57 Abs. 1 Nr. 1 VgV).</w:t>
      </w:r>
    </w:p>
    <w:p>
      <w:pPr>
        <w:pStyle w:val="berschrift3"/>
        <w:tabs>
          <w:tab w:val="num" w:pos="1985"/>
        </w:tabs>
        <w:ind w:left="1985" w:hanging="851"/>
        <w:rPr>
          <w:rFonts w:cs="Arial"/>
        </w:rPr>
      </w:pPr>
      <w:bookmarkStart w:id="13" w:name="_Toc6382938"/>
      <w:bookmarkStart w:id="14" w:name="_Toc238039259"/>
      <w:r>
        <w:rPr>
          <w:rFonts w:cs="Arial"/>
        </w:rPr>
        <w:t>Bindefrist und Zuschlagserteilung</w:t>
      </w:r>
      <w:bookmarkEnd w:id="13"/>
      <w:bookmarkEnd w:id="14"/>
    </w:p>
    <w:p>
      <w:pPr>
        <w:spacing w:after="240" w:line="360" w:lineRule="auto"/>
        <w:jc w:val="both"/>
        <w:rPr>
          <w:szCs w:val="22"/>
        </w:rPr>
      </w:pPr>
      <w:r>
        <w:rPr>
          <w:szCs w:val="22"/>
        </w:rPr>
        <w:t xml:space="preserve">Die Gültigkeit des Angebotes (Bindefrist) hat sich mindestens bis zum </w:t>
      </w:r>
      <w:r>
        <w:rPr>
          <w:b/>
          <w:szCs w:val="22"/>
          <w:u w:val="single"/>
        </w:rPr>
        <w:t>23.12.2026</w:t>
      </w:r>
      <w:r>
        <w:rPr>
          <w:szCs w:val="22"/>
        </w:rPr>
        <w:t xml:space="preserve"> zu erstrecken. Der Zuschlag wird innerhalb der Bindefrist schriftlich mitgeteilt.</w:t>
      </w:r>
    </w:p>
    <w:p>
      <w:pPr>
        <w:rPr>
          <w:szCs w:val="22"/>
          <w:highlight w:val="yellow"/>
        </w:rPr>
      </w:pPr>
      <w:r>
        <w:rPr>
          <w:szCs w:val="22"/>
          <w:highlight w:val="yellow"/>
        </w:rPr>
        <w:br w:type="page"/>
      </w:r>
    </w:p>
    <w:p>
      <w:pPr>
        <w:pStyle w:val="berschrift1"/>
        <w:pageBreakBefore w:val="0"/>
        <w:tabs>
          <w:tab w:val="left" w:pos="1843"/>
        </w:tabs>
        <w:rPr>
          <w:rFonts w:cs="Arial"/>
        </w:rPr>
      </w:pPr>
      <w:bookmarkStart w:id="15" w:name="_Toc238039260"/>
      <w:r>
        <w:rPr>
          <w:rFonts w:cs="Arial"/>
        </w:rPr>
        <w:lastRenderedPageBreak/>
        <w:t>Ausschreibungsbestimmungen</w:t>
      </w:r>
      <w:bookmarkEnd w:id="15"/>
    </w:p>
    <w:p>
      <w:pPr>
        <w:pStyle w:val="berschrift2"/>
        <w:tabs>
          <w:tab w:val="left" w:pos="1843"/>
        </w:tabs>
        <w:jc w:val="left"/>
      </w:pPr>
      <w:bookmarkStart w:id="16" w:name="_Toc6382940"/>
      <w:bookmarkStart w:id="17" w:name="_Toc238039261"/>
      <w:r>
        <w:t>Informationen zur ausschreibenden Stelle</w:t>
      </w:r>
      <w:bookmarkEnd w:id="16"/>
      <w:bookmarkEnd w:id="17"/>
    </w:p>
    <w:p>
      <w:pPr>
        <w:pStyle w:val="BasisabsatzCharChar"/>
        <w:tabs>
          <w:tab w:val="left" w:pos="1843"/>
        </w:tabs>
        <w:spacing w:after="0"/>
        <w:ind w:left="0"/>
      </w:pPr>
      <w:r>
        <w:t xml:space="preserve">Durchgeführt wird die Ausschreibung durch den Bereich 4-11 Zentrale Vergabestelle und Baukoordinierung der Stadtverwaltung Ludwigshafen am Rhein. </w:t>
      </w:r>
    </w:p>
    <w:p>
      <w:pPr>
        <w:pStyle w:val="berschrift2"/>
        <w:tabs>
          <w:tab w:val="left" w:pos="1843"/>
        </w:tabs>
        <w:jc w:val="left"/>
      </w:pPr>
      <w:bookmarkStart w:id="18" w:name="_Toc6382944"/>
      <w:bookmarkStart w:id="19" w:name="_Toc238039262"/>
      <w:r>
        <w:t>Einreichung, Inhalt und Aufbau der Angebote</w:t>
      </w:r>
      <w:bookmarkEnd w:id="18"/>
      <w:bookmarkEnd w:id="19"/>
    </w:p>
    <w:p>
      <w:pPr>
        <w:pStyle w:val="berschrift3"/>
        <w:tabs>
          <w:tab w:val="num" w:pos="1985"/>
        </w:tabs>
        <w:ind w:left="1985" w:hanging="851"/>
        <w:rPr>
          <w:rFonts w:cs="Arial"/>
        </w:rPr>
      </w:pPr>
      <w:bookmarkStart w:id="20" w:name="_Toc6382945"/>
      <w:bookmarkStart w:id="21" w:name="_Toc238039263"/>
      <w:r>
        <w:rPr>
          <w:rFonts w:cs="Arial"/>
        </w:rPr>
        <w:t>Einreichung der Angebote</w:t>
      </w:r>
      <w:bookmarkEnd w:id="20"/>
      <w:bookmarkEnd w:id="21"/>
    </w:p>
    <w:p>
      <w:pPr>
        <w:spacing w:after="240" w:line="360" w:lineRule="auto"/>
        <w:jc w:val="both"/>
        <w:rPr>
          <w:rStyle w:val="Hyperlink"/>
          <w:rFonts w:cs="Arial"/>
          <w:bCs/>
          <w:color w:val="auto"/>
          <w:u w:val="none"/>
        </w:rPr>
      </w:pPr>
      <w:r>
        <w:t xml:space="preserve">Das Angebot, einschließlich aller Unterlagen ist </w:t>
      </w:r>
      <w:r>
        <w:rPr>
          <w:u w:val="single"/>
        </w:rPr>
        <w:t>ausschließlich</w:t>
      </w:r>
      <w:r>
        <w:t xml:space="preserve"> in elektronischer Form mit Hilfe des „Bietercockpits“ über die Vergabeplattform </w:t>
      </w:r>
      <w:hyperlink r:id="rId13" w:history="1">
        <w:r>
          <w:rPr>
            <w:rStyle w:val="Hyperlink"/>
            <w:rFonts w:cs="Arial"/>
            <w:bCs/>
          </w:rPr>
          <w:t>http://www.auftragsboerse.de</w:t>
        </w:r>
      </w:hyperlink>
      <w:r>
        <w:rPr>
          <w:rStyle w:val="Hyperlink"/>
          <w:rFonts w:cs="Arial"/>
          <w:bCs/>
          <w:color w:val="auto"/>
          <w:u w:val="none"/>
        </w:rPr>
        <w:t xml:space="preserve"> einzureichen.</w:t>
      </w:r>
    </w:p>
    <w:p>
      <w:pPr>
        <w:autoSpaceDE w:val="0"/>
        <w:autoSpaceDN w:val="0"/>
        <w:adjustRightInd w:val="0"/>
        <w:spacing w:after="240" w:line="360" w:lineRule="auto"/>
        <w:jc w:val="both"/>
      </w:pPr>
      <w:r>
        <w:t xml:space="preserve">Bei technischen Schwierigkeiten mit dem „Bietercockpit“ oder der Vergabeplattform </w:t>
      </w:r>
      <w:hyperlink r:id="rId14" w:history="1">
        <w:r>
          <w:rPr>
            <w:rStyle w:val="Hyperlink"/>
            <w:rFonts w:cs="Arial"/>
            <w:bCs/>
          </w:rPr>
          <w:t>http://www.auftragsboerse.de</w:t>
        </w:r>
      </w:hyperlink>
      <w:r>
        <w:rPr>
          <w:rFonts w:cs="Arial"/>
          <w:bCs/>
        </w:rPr>
        <w:t xml:space="preserve"> </w:t>
      </w:r>
      <w:r>
        <w:t xml:space="preserve">wenden Sie sich bitte an folgende Ansprechpartner: </w:t>
      </w:r>
    </w:p>
    <w:p>
      <w:pPr>
        <w:tabs>
          <w:tab w:val="left" w:pos="3969"/>
        </w:tabs>
        <w:autoSpaceDE w:val="0"/>
        <w:autoSpaceDN w:val="0"/>
        <w:adjustRightInd w:val="0"/>
        <w:spacing w:line="360" w:lineRule="auto"/>
        <w:ind w:left="1134"/>
        <w:jc w:val="center"/>
      </w:pPr>
      <w:r>
        <w:t>Staatsanzeiger für Baden-Württemberg GmbH &amp; Co. KG</w:t>
      </w:r>
    </w:p>
    <w:p>
      <w:pPr>
        <w:tabs>
          <w:tab w:val="left" w:pos="3969"/>
        </w:tabs>
        <w:autoSpaceDE w:val="0"/>
        <w:autoSpaceDN w:val="0"/>
        <w:adjustRightInd w:val="0"/>
        <w:spacing w:line="360" w:lineRule="auto"/>
        <w:ind w:left="1134"/>
        <w:jc w:val="center"/>
      </w:pPr>
      <w:r>
        <w:t>Abteilung Bieter Support</w:t>
      </w:r>
    </w:p>
    <w:p>
      <w:pPr>
        <w:tabs>
          <w:tab w:val="left" w:pos="3969"/>
        </w:tabs>
        <w:autoSpaceDE w:val="0"/>
        <w:autoSpaceDN w:val="0"/>
        <w:adjustRightInd w:val="0"/>
        <w:spacing w:line="360" w:lineRule="auto"/>
        <w:ind w:left="1134"/>
        <w:jc w:val="center"/>
      </w:pPr>
      <w:r>
        <w:t>Telefon: 0711 / 666 01 - 476</w:t>
      </w:r>
    </w:p>
    <w:p>
      <w:pPr>
        <w:tabs>
          <w:tab w:val="left" w:pos="3969"/>
        </w:tabs>
        <w:autoSpaceDE w:val="0"/>
        <w:autoSpaceDN w:val="0"/>
        <w:adjustRightInd w:val="0"/>
        <w:spacing w:after="240" w:line="360" w:lineRule="auto"/>
        <w:ind w:left="1134"/>
        <w:jc w:val="center"/>
      </w:pPr>
      <w:r>
        <w:t xml:space="preserve">Mail: </w:t>
      </w:r>
      <w:hyperlink r:id="rId15" w:history="1">
        <w:r>
          <w:rPr>
            <w:rStyle w:val="Hyperlink"/>
          </w:rPr>
          <w:t>bieter@staatsanzeiger.de</w:t>
        </w:r>
      </w:hyperlink>
    </w:p>
    <w:p>
      <w:pPr>
        <w:autoSpaceDE w:val="0"/>
        <w:autoSpaceDN w:val="0"/>
        <w:adjustRightInd w:val="0"/>
        <w:spacing w:after="240" w:line="360" w:lineRule="auto"/>
        <w:jc w:val="both"/>
      </w:pPr>
      <w:r>
        <w:t>Versenden Sie aufgrund technischer Schwierigkeiten keinesfalls einzureichende Unterlagen per E-Mail, außer dies wäre explizit gefordert.</w:t>
      </w:r>
    </w:p>
    <w:p>
      <w:pPr>
        <w:autoSpaceDE w:val="0"/>
        <w:autoSpaceDN w:val="0"/>
        <w:adjustRightInd w:val="0"/>
        <w:spacing w:line="360" w:lineRule="auto"/>
        <w:jc w:val="both"/>
      </w:pPr>
      <w:r>
        <w:t xml:space="preserve">Nehmen Sie jedoch im Falle von technischen Schwierigkeiten die nicht von den vorgenannten Ansprechpartnern gelöst werden können, Kontakt mit der ausschreibenden Stelle per E-Mail an die Adresse </w:t>
      </w:r>
      <w:hyperlink r:id="rId16" w:history="1">
        <w:r>
          <w:rPr>
            <w:rStyle w:val="Hyperlink"/>
            <w:szCs w:val="22"/>
          </w:rPr>
          <w:t>ZentraleVergabestelle@ludwigshafen.de</w:t>
        </w:r>
      </w:hyperlink>
      <w:r>
        <w:rPr>
          <w:szCs w:val="22"/>
        </w:rPr>
        <w:t xml:space="preserve"> </w:t>
      </w:r>
      <w:r>
        <w:t>auf.</w:t>
      </w:r>
    </w:p>
    <w:p>
      <w:pPr>
        <w:autoSpaceDE w:val="0"/>
        <w:autoSpaceDN w:val="0"/>
        <w:adjustRightInd w:val="0"/>
        <w:spacing w:line="360" w:lineRule="auto"/>
        <w:jc w:val="both"/>
      </w:pPr>
    </w:p>
    <w:p>
      <w:pPr>
        <w:pStyle w:val="berschrift3"/>
        <w:tabs>
          <w:tab w:val="num" w:pos="1985"/>
        </w:tabs>
        <w:ind w:left="1985" w:hanging="851"/>
        <w:rPr>
          <w:rFonts w:cs="Arial"/>
        </w:rPr>
      </w:pPr>
      <w:bookmarkStart w:id="22" w:name="_Toc6382946"/>
      <w:bookmarkStart w:id="23" w:name="_Toc238039264"/>
      <w:r>
        <w:rPr>
          <w:rFonts w:cs="Arial"/>
        </w:rPr>
        <w:t>Inhalt und Aufbau des Angebotes</w:t>
      </w:r>
      <w:bookmarkEnd w:id="22"/>
      <w:bookmarkEnd w:id="23"/>
    </w:p>
    <w:p>
      <w:pPr>
        <w:autoSpaceDE w:val="0"/>
        <w:autoSpaceDN w:val="0"/>
        <w:adjustRightInd w:val="0"/>
        <w:spacing w:after="240" w:line="360" w:lineRule="auto"/>
        <w:jc w:val="both"/>
        <w:rPr>
          <w:rFonts w:cs="Arial"/>
          <w:color w:val="000000"/>
          <w:szCs w:val="24"/>
        </w:rPr>
      </w:pPr>
      <w:r>
        <w:rPr>
          <w:rFonts w:cs="Arial"/>
          <w:color w:val="000000"/>
          <w:szCs w:val="24"/>
        </w:rPr>
        <w:t>Änderungen an den Vergabe- und Vertragsunterlagen sind unzulässig. Das Angebot muss vollständig sein und alle geforderten Angaben, Erklärungen und Preise enthalten.</w:t>
      </w:r>
    </w:p>
    <w:p>
      <w:pPr>
        <w:autoSpaceDE w:val="0"/>
        <w:autoSpaceDN w:val="0"/>
        <w:adjustRightInd w:val="0"/>
        <w:spacing w:after="240" w:line="360" w:lineRule="auto"/>
        <w:jc w:val="both"/>
        <w:rPr>
          <w:rFonts w:cs="Arial"/>
          <w:color w:val="000000"/>
          <w:szCs w:val="24"/>
        </w:rPr>
      </w:pPr>
      <w:r>
        <w:rPr>
          <w:rFonts w:cs="Arial"/>
          <w:color w:val="000000"/>
          <w:szCs w:val="24"/>
        </w:rPr>
        <w:t xml:space="preserve">Der Bieter hat anzugeben, ob für den Auftragsgegenstand gewerbliche Schutzrechte bestehen, beantragt sind oder erwogen werden. </w:t>
      </w:r>
    </w:p>
    <w:p>
      <w:pPr>
        <w:spacing w:after="240" w:line="360" w:lineRule="auto"/>
        <w:jc w:val="both"/>
      </w:pPr>
      <w:r>
        <w:lastRenderedPageBreak/>
        <w:t>Das Angebot ist in folgender Hauptstruktur zu erstellen und vorzulegen:</w:t>
      </w:r>
    </w:p>
    <w:p>
      <w:pPr>
        <w:pStyle w:val="BasisabsatzCharChar"/>
        <w:numPr>
          <w:ilvl w:val="0"/>
          <w:numId w:val="19"/>
        </w:numPr>
        <w:jc w:val="left"/>
        <w:rPr>
          <w:b/>
          <w:sz w:val="16"/>
        </w:rPr>
      </w:pPr>
      <w:r>
        <w:rPr>
          <w:b/>
        </w:rPr>
        <w:t>Angebotsschreiben</w:t>
      </w:r>
      <w:r>
        <w:rPr>
          <w:b/>
          <w:bCs/>
        </w:rPr>
        <w:br/>
      </w:r>
      <w:r>
        <w:rPr>
          <w:i/>
          <w:sz w:val="18"/>
        </w:rPr>
        <w:t>(Datei: “01_Angebotsschreiben_2026 247“)</w:t>
      </w:r>
    </w:p>
    <w:p>
      <w:pPr>
        <w:pStyle w:val="BasisabsatzCharChar"/>
        <w:ind w:left="709"/>
      </w:pPr>
      <w:r>
        <w:t xml:space="preserve">Das Angebotsschreiben muss </w:t>
      </w:r>
      <w:r>
        <w:rPr>
          <w:u w:val="single"/>
        </w:rPr>
        <w:t>vollständig ausgefüllt</w:t>
      </w:r>
      <w:r>
        <w:t xml:space="preserve"> und </w:t>
      </w:r>
      <w:r>
        <w:rPr>
          <w:u w:val="single"/>
        </w:rPr>
        <w:t>in Textform</w:t>
      </w:r>
      <w:r>
        <w:t xml:space="preserve"> übermittelt werden.</w:t>
      </w:r>
    </w:p>
    <w:p>
      <w:pPr>
        <w:pStyle w:val="BasisabsatzCharChar"/>
        <w:numPr>
          <w:ilvl w:val="0"/>
          <w:numId w:val="19"/>
        </w:numPr>
        <w:rPr>
          <w:b/>
        </w:rPr>
      </w:pPr>
      <w:r>
        <w:rPr>
          <w:b/>
        </w:rPr>
        <w:t>Kriterienkatalog</w:t>
      </w:r>
    </w:p>
    <w:p>
      <w:pPr>
        <w:pStyle w:val="BasisabsatzCharChar"/>
        <w:ind w:left="720"/>
      </w:pPr>
      <w:r>
        <w:t>Der Kriterienkatalog (</w:t>
      </w:r>
      <w:r>
        <w:rPr>
          <w:u w:val="single"/>
        </w:rPr>
        <w:t>siehe Ziffer 6</w:t>
      </w:r>
      <w:r>
        <w:t xml:space="preserve">) muss </w:t>
      </w:r>
      <w:r>
        <w:rPr>
          <w:u w:val="single"/>
        </w:rPr>
        <w:t>vollständig ausgefüllt</w:t>
      </w:r>
      <w:r>
        <w:t xml:space="preserve"> werden (alle geforderten Angaben sind gelb markiert). </w:t>
      </w:r>
    </w:p>
    <w:p>
      <w:pPr>
        <w:pStyle w:val="BasisabsatzCharChar"/>
        <w:numPr>
          <w:ilvl w:val="0"/>
          <w:numId w:val="19"/>
        </w:numPr>
        <w:rPr>
          <w:b/>
        </w:rPr>
      </w:pPr>
      <w:r>
        <w:rPr>
          <w:b/>
        </w:rPr>
        <w:t>Preisblatt</w:t>
      </w:r>
    </w:p>
    <w:p>
      <w:pPr>
        <w:pStyle w:val="BasisabsatzCharChar"/>
        <w:ind w:left="720"/>
      </w:pPr>
      <w:r>
        <w:t>Das Preisblatt (</w:t>
      </w:r>
      <w:r>
        <w:rPr>
          <w:u w:val="single"/>
        </w:rPr>
        <w:t>siehe Ziffer 7</w:t>
      </w:r>
      <w:r>
        <w:t xml:space="preserve">) muss </w:t>
      </w:r>
      <w:r>
        <w:rPr>
          <w:u w:val="single"/>
        </w:rPr>
        <w:t>vollständig ausgefüllt</w:t>
      </w:r>
      <w:r>
        <w:t xml:space="preserve"> werden (alle geforderten Angaben sind gelb markiert). </w:t>
      </w:r>
    </w:p>
    <w:p>
      <w:pPr>
        <w:pStyle w:val="BasisabsatzCharChar"/>
        <w:numPr>
          <w:ilvl w:val="0"/>
          <w:numId w:val="19"/>
        </w:numPr>
        <w:spacing w:after="0"/>
        <w:rPr>
          <w:b/>
        </w:rPr>
      </w:pPr>
      <w:r>
        <w:rPr>
          <w:b/>
        </w:rPr>
        <w:t>Eigenerklärung zur Eignung in folgendem Vergabeverfahren</w:t>
      </w:r>
    </w:p>
    <w:p>
      <w:pPr>
        <w:pStyle w:val="BasisabsatzCharChar"/>
        <w:ind w:left="720"/>
        <w:rPr>
          <w:i/>
          <w:sz w:val="18"/>
        </w:rPr>
      </w:pPr>
      <w:r>
        <w:rPr>
          <w:i/>
          <w:sz w:val="18"/>
        </w:rPr>
        <w:t>(Datei: “03_Eigenerklärung_2026 247“)</w:t>
      </w:r>
    </w:p>
    <w:p>
      <w:pPr>
        <w:pStyle w:val="BasisabsatzCharChar"/>
        <w:ind w:left="709"/>
      </w:pPr>
      <w:r>
        <w:t xml:space="preserve">Die Eigenerklärung muss </w:t>
      </w:r>
      <w:r>
        <w:rPr>
          <w:u w:val="single"/>
        </w:rPr>
        <w:t>vollständig ausgefüllt</w:t>
      </w:r>
      <w:r>
        <w:t xml:space="preserve"> und </w:t>
      </w:r>
      <w:r>
        <w:rPr>
          <w:u w:val="single"/>
        </w:rPr>
        <w:t>in Textform</w:t>
      </w:r>
      <w:r>
        <w:t xml:space="preserve"> übermittelt werden.</w:t>
      </w:r>
    </w:p>
    <w:p>
      <w:pPr>
        <w:pStyle w:val="BasisabsatzCharChar"/>
        <w:numPr>
          <w:ilvl w:val="0"/>
          <w:numId w:val="19"/>
        </w:numPr>
        <w:spacing w:after="0"/>
        <w:jc w:val="left"/>
        <w:rPr>
          <w:b/>
        </w:rPr>
      </w:pPr>
      <w:r>
        <w:rPr>
          <w:b/>
        </w:rPr>
        <w:t>Verpflichtungserklärung zur Einhaltung des Tariftreue- und Mindestlohngesetzes Rheinland-Pfalz (LTTG)</w:t>
      </w:r>
    </w:p>
    <w:p>
      <w:pPr>
        <w:pStyle w:val="BasisabsatzCharChar"/>
        <w:ind w:left="720"/>
        <w:rPr>
          <w:i/>
          <w:sz w:val="18"/>
        </w:rPr>
      </w:pPr>
      <w:r>
        <w:rPr>
          <w:i/>
          <w:sz w:val="18"/>
        </w:rPr>
        <w:t>(Datei: “04_LTTG_Erklaerung_1_2026 247“ und „05_Merkblatt LTTG_2026 247“)</w:t>
      </w:r>
    </w:p>
    <w:p>
      <w:pPr>
        <w:pStyle w:val="BasisabsatzCharChar"/>
        <w:ind w:left="709"/>
      </w:pPr>
      <w:r>
        <w:t xml:space="preserve">Die Verpflichtungserklärung muss </w:t>
      </w:r>
      <w:r>
        <w:rPr>
          <w:u w:val="single"/>
        </w:rPr>
        <w:t>vollständig ausgefüllt</w:t>
      </w:r>
      <w:r>
        <w:t xml:space="preserve"> und </w:t>
      </w:r>
      <w:r>
        <w:rPr>
          <w:u w:val="single"/>
        </w:rPr>
        <w:t>in Textform</w:t>
      </w:r>
      <w:r>
        <w:t xml:space="preserve"> übermittelt werden.</w:t>
      </w:r>
    </w:p>
    <w:p>
      <w:pPr>
        <w:pStyle w:val="BasisabsatzCharChar"/>
        <w:numPr>
          <w:ilvl w:val="0"/>
          <w:numId w:val="19"/>
        </w:numPr>
        <w:spacing w:after="0"/>
        <w:jc w:val="left"/>
        <w:rPr>
          <w:b/>
        </w:rPr>
      </w:pPr>
      <w:r>
        <w:rPr>
          <w:b/>
        </w:rPr>
        <w:t>Eigenerklärung zu Artikel 5 k) Absatz 1 der Verordnung (EU) Nr. 833/2014</w:t>
      </w:r>
      <w:r>
        <w:rPr>
          <w:rStyle w:val="Funotenzeichen"/>
          <w:b/>
        </w:rPr>
        <w:footnoteReference w:id="1"/>
      </w:r>
      <w:r>
        <w:rPr>
          <w:b/>
        </w:rPr>
        <w:t xml:space="preserve"> des Rates über restriktive Maßnahmen angesichts der Handlungen Russlands, die die Lage in der Ukraine destabilisieren </w:t>
      </w:r>
    </w:p>
    <w:p>
      <w:pPr>
        <w:pStyle w:val="BasisabsatzCharChar"/>
        <w:ind w:left="720"/>
        <w:rPr>
          <w:i/>
          <w:sz w:val="18"/>
        </w:rPr>
      </w:pPr>
      <w:r>
        <w:rPr>
          <w:i/>
          <w:sz w:val="18"/>
        </w:rPr>
        <w:t>(Datei: “08_Eigenerklärung-VO-2022-833_2026 247“)</w:t>
      </w:r>
    </w:p>
    <w:p>
      <w:pPr>
        <w:pStyle w:val="BasisabsatzCharChar"/>
        <w:ind w:left="709"/>
      </w:pPr>
      <w:r>
        <w:t xml:space="preserve">Die Verpflichtungserklärung muss </w:t>
      </w:r>
      <w:r>
        <w:rPr>
          <w:u w:val="single"/>
        </w:rPr>
        <w:t>vollständig ausgefüllt</w:t>
      </w:r>
      <w:r>
        <w:t xml:space="preserve"> und </w:t>
      </w:r>
      <w:r>
        <w:rPr>
          <w:u w:val="single"/>
        </w:rPr>
        <w:t>in Textform</w:t>
      </w:r>
      <w:r>
        <w:t xml:space="preserve"> übermittelt werden.</w:t>
      </w:r>
    </w:p>
    <w:p>
      <w:pPr>
        <w:pStyle w:val="BasisabsatzCharChar"/>
        <w:ind w:left="0"/>
        <w:rPr>
          <w:b/>
          <w:bCs/>
          <w:szCs w:val="22"/>
        </w:rPr>
      </w:pPr>
      <w:r>
        <w:rPr>
          <w:b/>
          <w:bCs/>
          <w:szCs w:val="22"/>
        </w:rPr>
        <w:t>Falls zutreffend:</w:t>
      </w:r>
    </w:p>
    <w:p>
      <w:pPr>
        <w:pStyle w:val="BasisabsatzCharChar"/>
        <w:numPr>
          <w:ilvl w:val="0"/>
          <w:numId w:val="19"/>
        </w:numPr>
        <w:spacing w:after="0"/>
        <w:jc w:val="left"/>
        <w:rPr>
          <w:b/>
        </w:rPr>
      </w:pPr>
      <w:r>
        <w:rPr>
          <w:b/>
        </w:rPr>
        <w:t>Verzeichnis der Leistungen/Kapazitäten anderer Unternehmer</w:t>
      </w:r>
    </w:p>
    <w:p>
      <w:pPr>
        <w:pStyle w:val="BasisabsatzCharChar"/>
        <w:ind w:left="720"/>
        <w:rPr>
          <w:i/>
          <w:sz w:val="18"/>
        </w:rPr>
      </w:pPr>
      <w:r>
        <w:rPr>
          <w:i/>
          <w:sz w:val="18"/>
        </w:rPr>
        <w:t>(Datei: “06_Nachunternehmer_2026 247“)</w:t>
      </w:r>
    </w:p>
    <w:p>
      <w:pPr>
        <w:pStyle w:val="BasisabsatzCharChar"/>
        <w:ind w:left="720"/>
        <w:jc w:val="left"/>
      </w:pPr>
      <w:r>
        <w:lastRenderedPageBreak/>
        <w:t xml:space="preserve">Die Erklärung muss </w:t>
      </w:r>
      <w:r>
        <w:rPr>
          <w:u w:val="single"/>
        </w:rPr>
        <w:t>vollständig ausgefüllt</w:t>
      </w:r>
      <w:r>
        <w:t xml:space="preserve"> sein und </w:t>
      </w:r>
      <w:r>
        <w:rPr>
          <w:u w:val="single"/>
        </w:rPr>
        <w:t>in Textform</w:t>
      </w:r>
      <w:r>
        <w:t xml:space="preserve"> übermittelt werden.</w:t>
      </w:r>
    </w:p>
    <w:p>
      <w:pPr>
        <w:pStyle w:val="BasisabsatzCharChar"/>
        <w:ind w:left="720"/>
      </w:pPr>
      <w:r>
        <w:rPr>
          <w:szCs w:val="22"/>
        </w:rPr>
        <w:t xml:space="preserve">Bei einem geplanten Einsatz von Nachunternehmern muss zusätzlich von </w:t>
      </w:r>
      <w:r>
        <w:rPr>
          <w:szCs w:val="22"/>
          <w:u w:val="single"/>
        </w:rPr>
        <w:t>jedem Nachunternehmer</w:t>
      </w:r>
      <w:r>
        <w:rPr>
          <w:szCs w:val="22"/>
        </w:rPr>
        <w:t xml:space="preserve"> die Eigenerklärung zur Eignung in folgendem Vergabeverfahren </w:t>
      </w:r>
      <w:r>
        <w:rPr>
          <w:i/>
          <w:szCs w:val="22"/>
        </w:rPr>
        <w:t>(Datei: “03_Eigenerklärung_2026 247“)</w:t>
      </w:r>
      <w:r>
        <w:rPr>
          <w:szCs w:val="22"/>
        </w:rPr>
        <w:t xml:space="preserve">, die Verpflichtungserklärung zur Einhaltung des Tariftreue- und Mindestlohngesetzes Rheinland-Pfalz (LTTG) </w:t>
      </w:r>
      <w:r>
        <w:rPr>
          <w:i/>
          <w:szCs w:val="22"/>
        </w:rPr>
        <w:t>(Datei: “04_LTTG_Erklaerung_1_2026 247“)</w:t>
      </w:r>
      <w:r>
        <w:rPr>
          <w:szCs w:val="22"/>
        </w:rPr>
        <w:t xml:space="preserve"> sowie die Eigenerklärung zu Art. 5 Artikel 5 k) Absatz 1 der Verordnung (EU) Nr. 833/2014 in der Fassung des Art. 1 Ziff. 23 der Verordnung (EU) 2022/576 des Rates vom 8. April 2022 über restriktive Maßnahmen angesichts der Handlungen Russlands, die die Lage in der Ukraine destabilisieren</w:t>
      </w:r>
      <w:r>
        <w:rPr>
          <w:i/>
          <w:szCs w:val="22"/>
        </w:rPr>
        <w:t xml:space="preserve"> (Datei: “08_Eigenerklärung-VO-2022-833_2026 247“) </w:t>
      </w:r>
      <w:r>
        <w:rPr>
          <w:szCs w:val="22"/>
        </w:rPr>
        <w:t>vollständig</w:t>
      </w:r>
      <w:r>
        <w:rPr>
          <w:szCs w:val="22"/>
          <w:u w:val="single"/>
        </w:rPr>
        <w:t xml:space="preserve"> ausgefüllt</w:t>
      </w:r>
      <w:r>
        <w:rPr>
          <w:szCs w:val="22"/>
        </w:rPr>
        <w:t xml:space="preserve"> und </w:t>
      </w:r>
      <w:r>
        <w:rPr>
          <w:szCs w:val="22"/>
          <w:u w:val="single"/>
        </w:rPr>
        <w:t>in Textform</w:t>
      </w:r>
      <w:r>
        <w:rPr>
          <w:szCs w:val="22"/>
        </w:rPr>
        <w:t xml:space="preserve"> übermittelt werden.</w:t>
      </w:r>
    </w:p>
    <w:p>
      <w:pPr>
        <w:pStyle w:val="BasisabsatzCharChar"/>
        <w:numPr>
          <w:ilvl w:val="0"/>
          <w:numId w:val="19"/>
        </w:numPr>
        <w:spacing w:after="0"/>
        <w:jc w:val="left"/>
        <w:rPr>
          <w:b/>
        </w:rPr>
      </w:pPr>
      <w:r>
        <w:rPr>
          <w:b/>
        </w:rPr>
        <w:t>Erklärung der Bieter-/Arbeitsgemeinschaft</w:t>
      </w:r>
    </w:p>
    <w:p>
      <w:pPr>
        <w:pStyle w:val="BasisabsatzCharChar"/>
        <w:ind w:left="720"/>
        <w:rPr>
          <w:i/>
          <w:sz w:val="18"/>
        </w:rPr>
      </w:pPr>
      <w:r>
        <w:rPr>
          <w:i/>
          <w:sz w:val="18"/>
        </w:rPr>
        <w:t>(Datei: “07_Bieter-Arbeitsgemeinschaft_2026 247“)</w:t>
      </w:r>
    </w:p>
    <w:p>
      <w:pPr>
        <w:pStyle w:val="BasisabsatzCharChar"/>
        <w:ind w:left="709"/>
      </w:pPr>
      <w:r>
        <w:t xml:space="preserve">Die Erklärung muss </w:t>
      </w:r>
      <w:r>
        <w:rPr>
          <w:u w:val="single"/>
        </w:rPr>
        <w:t>vollständig ausgefüllt</w:t>
      </w:r>
      <w:r>
        <w:t xml:space="preserve"> und </w:t>
      </w:r>
      <w:r>
        <w:rPr>
          <w:u w:val="single"/>
        </w:rPr>
        <w:t>in Textform</w:t>
      </w:r>
      <w:r>
        <w:t xml:space="preserve"> übermittelt werden.</w:t>
      </w:r>
    </w:p>
    <w:p>
      <w:pPr>
        <w:pStyle w:val="BasisabsatzCharChar"/>
        <w:ind w:left="709"/>
      </w:pPr>
      <w:r>
        <w:rPr>
          <w:szCs w:val="22"/>
        </w:rPr>
        <w:t xml:space="preserve">Bei der Bildung einer Bietergemeinschaft muss zusätzlich von </w:t>
      </w:r>
      <w:r>
        <w:rPr>
          <w:szCs w:val="22"/>
          <w:u w:val="single"/>
        </w:rPr>
        <w:t>jedem Mitglied der Bietergemeinschaft</w:t>
      </w:r>
      <w:r>
        <w:rPr>
          <w:szCs w:val="22"/>
        </w:rPr>
        <w:t xml:space="preserve"> die Eigenerklärung zur Eignung in folgendem Vergabeverfahren </w:t>
      </w:r>
      <w:r>
        <w:rPr>
          <w:i/>
          <w:szCs w:val="22"/>
        </w:rPr>
        <w:t>(Datei: “03_Eigenerklärung_2026 247“),</w:t>
      </w:r>
      <w:r>
        <w:rPr>
          <w:szCs w:val="22"/>
        </w:rPr>
        <w:t xml:space="preserve"> die Verpflichtungserklärung zur Einhaltung des Tariftreue- und Mindestlohngesetzes Rheinland-Pfalz (LTTG)</w:t>
      </w:r>
      <w:r>
        <w:rPr>
          <w:rFonts w:cs="Arial"/>
          <w:bCs/>
          <w:i/>
          <w:szCs w:val="22"/>
        </w:rPr>
        <w:t xml:space="preserve"> </w:t>
      </w:r>
      <w:r>
        <w:rPr>
          <w:i/>
          <w:szCs w:val="22"/>
        </w:rPr>
        <w:t>(Datei: “04_LTTG_Erklaerung_1_2026 247“)</w:t>
      </w:r>
      <w:r>
        <w:rPr>
          <w:szCs w:val="22"/>
        </w:rPr>
        <w:t xml:space="preserve"> sowie die Eigenerklärung zu Art. 5 Artikel 5 k) Absatz 1 der Verordnung (EU) Nr. 833/2014 in der Fassung des Art. 1 Ziff. 23 der Verordnung (EU) 2022/576 des Rates vom 8. April 2022 über restriktive Maßnahmen angesichts der Handlungen Russlands, die die Lage in der Ukraine destabilisieren</w:t>
      </w:r>
      <w:r>
        <w:rPr>
          <w:i/>
          <w:szCs w:val="22"/>
        </w:rPr>
        <w:t xml:space="preserve"> (Datei: “08_Eigenerklärung-VO-2022-833_2026 247“) </w:t>
      </w:r>
      <w:r>
        <w:rPr>
          <w:szCs w:val="22"/>
        </w:rPr>
        <w:t>vollständig</w:t>
      </w:r>
      <w:r>
        <w:rPr>
          <w:szCs w:val="22"/>
          <w:u w:val="single"/>
        </w:rPr>
        <w:t xml:space="preserve"> ausgefüllt</w:t>
      </w:r>
      <w:r>
        <w:rPr>
          <w:szCs w:val="22"/>
        </w:rPr>
        <w:t xml:space="preserve"> und </w:t>
      </w:r>
      <w:r>
        <w:rPr>
          <w:szCs w:val="22"/>
          <w:u w:val="single"/>
        </w:rPr>
        <w:t>in Textform</w:t>
      </w:r>
      <w:r>
        <w:rPr>
          <w:szCs w:val="22"/>
        </w:rPr>
        <w:t xml:space="preserve"> übermittelt werden.</w:t>
      </w:r>
    </w:p>
    <w:p>
      <w:pPr>
        <w:autoSpaceDE w:val="0"/>
        <w:autoSpaceDN w:val="0"/>
        <w:adjustRightInd w:val="0"/>
        <w:spacing w:before="240" w:line="360" w:lineRule="auto"/>
        <w:jc w:val="both"/>
        <w:rPr>
          <w:rFonts w:cs="Arial"/>
          <w:bCs/>
          <w:szCs w:val="22"/>
          <w:u w:val="single"/>
          <w:lang w:eastAsia="de-DE"/>
        </w:rPr>
      </w:pPr>
      <w:r>
        <w:rPr>
          <w:rFonts w:cs="Arial"/>
          <w:bCs/>
          <w:szCs w:val="22"/>
          <w:u w:val="single"/>
          <w:lang w:eastAsia="de-DE"/>
        </w:rPr>
        <w:t xml:space="preserve">Textform bedeutet: </w:t>
      </w:r>
    </w:p>
    <w:p>
      <w:pPr>
        <w:autoSpaceDE w:val="0"/>
        <w:autoSpaceDN w:val="0"/>
        <w:adjustRightInd w:val="0"/>
        <w:spacing w:after="240" w:line="360" w:lineRule="auto"/>
        <w:jc w:val="both"/>
        <w:rPr>
          <w:rFonts w:cs="Arial"/>
          <w:bCs/>
          <w:szCs w:val="22"/>
          <w:lang w:eastAsia="de-DE"/>
        </w:rPr>
      </w:pPr>
      <w:r>
        <w:rPr>
          <w:rFonts w:cs="Arial"/>
          <w:bCs/>
          <w:szCs w:val="22"/>
          <w:lang w:eastAsia="de-DE"/>
        </w:rPr>
        <w:t>Gem. § 126b BGB muss eine lesbare Erklärung, in der die Person des Erklärenden genannt ist abgegeben werden. Die Nennung der Person des Erklärenden erfordert die Angabe der Identität desjenigen, dem die Erklärung zugerechnet werden soll.</w:t>
      </w:r>
    </w:p>
    <w:p>
      <w:pPr>
        <w:autoSpaceDE w:val="0"/>
        <w:autoSpaceDN w:val="0"/>
        <w:adjustRightInd w:val="0"/>
        <w:spacing w:line="360" w:lineRule="auto"/>
        <w:jc w:val="both"/>
        <w:rPr>
          <w:rFonts w:cs="Arial"/>
          <w:b/>
          <w:bCs/>
          <w:szCs w:val="22"/>
          <w:lang w:eastAsia="de-DE"/>
        </w:rPr>
      </w:pPr>
      <w:r>
        <w:rPr>
          <w:rFonts w:cs="Arial"/>
          <w:b/>
          <w:bCs/>
          <w:szCs w:val="22"/>
          <w:lang w:eastAsia="de-DE"/>
        </w:rPr>
        <w:t>Für Sie als Bewerber/Bieter bedeutet das:</w:t>
      </w:r>
    </w:p>
    <w:p>
      <w:pPr>
        <w:pStyle w:val="Listenabsatz"/>
        <w:numPr>
          <w:ilvl w:val="0"/>
          <w:numId w:val="20"/>
        </w:numPr>
        <w:autoSpaceDE w:val="0"/>
        <w:autoSpaceDN w:val="0"/>
        <w:adjustRightInd w:val="0"/>
        <w:spacing w:after="240" w:line="360" w:lineRule="auto"/>
        <w:rPr>
          <w:rFonts w:cs="Arial"/>
          <w:b/>
          <w:bCs/>
          <w:szCs w:val="22"/>
          <w:lang w:eastAsia="de-DE"/>
        </w:rPr>
      </w:pPr>
      <w:r>
        <w:rPr>
          <w:rFonts w:cs="Arial"/>
          <w:b/>
          <w:bCs/>
          <w:szCs w:val="22"/>
          <w:lang w:eastAsia="de-DE"/>
        </w:rPr>
        <w:t xml:space="preserve">Nennung des Firmennamens </w:t>
      </w:r>
    </w:p>
    <w:p>
      <w:pPr>
        <w:pStyle w:val="Listenabsatz"/>
        <w:numPr>
          <w:ilvl w:val="0"/>
          <w:numId w:val="20"/>
        </w:numPr>
        <w:autoSpaceDE w:val="0"/>
        <w:autoSpaceDN w:val="0"/>
        <w:adjustRightInd w:val="0"/>
        <w:spacing w:after="240" w:line="360" w:lineRule="auto"/>
        <w:rPr>
          <w:rFonts w:cs="Arial"/>
          <w:b/>
          <w:bCs/>
          <w:szCs w:val="22"/>
          <w:lang w:eastAsia="de-DE"/>
        </w:rPr>
      </w:pPr>
      <w:r>
        <w:rPr>
          <w:rFonts w:cs="Arial"/>
          <w:b/>
          <w:bCs/>
          <w:szCs w:val="22"/>
          <w:lang w:eastAsia="de-DE"/>
        </w:rPr>
        <w:t>Nennung der Rechtsform</w:t>
      </w:r>
    </w:p>
    <w:p>
      <w:pPr>
        <w:pStyle w:val="Listenabsatz"/>
        <w:numPr>
          <w:ilvl w:val="0"/>
          <w:numId w:val="20"/>
        </w:numPr>
        <w:autoSpaceDE w:val="0"/>
        <w:autoSpaceDN w:val="0"/>
        <w:adjustRightInd w:val="0"/>
        <w:spacing w:after="240" w:line="360" w:lineRule="auto"/>
        <w:rPr>
          <w:rFonts w:cs="Arial"/>
          <w:b/>
          <w:bCs/>
          <w:szCs w:val="22"/>
          <w:lang w:eastAsia="de-DE"/>
        </w:rPr>
      </w:pPr>
      <w:r>
        <w:rPr>
          <w:rFonts w:cs="Arial"/>
          <w:b/>
          <w:bCs/>
          <w:szCs w:val="22"/>
          <w:lang w:eastAsia="de-DE"/>
        </w:rPr>
        <w:t>Nennung des konkreten Mitarbeiters bzw. Vertreters, der den Teilnahmeantrag/das Angebot für den Bewerber/Bieter abgegeben hat</w:t>
      </w:r>
    </w:p>
    <w:p>
      <w:pPr>
        <w:pStyle w:val="berschrift2"/>
        <w:tabs>
          <w:tab w:val="clear" w:pos="1702"/>
          <w:tab w:val="left" w:pos="1701"/>
          <w:tab w:val="left" w:pos="1843"/>
        </w:tabs>
        <w:jc w:val="left"/>
      </w:pPr>
      <w:bookmarkStart w:id="24" w:name="_Toc22715030"/>
      <w:bookmarkStart w:id="25" w:name="_Toc238039265"/>
      <w:r>
        <w:lastRenderedPageBreak/>
        <w:t>Nebenangebote</w:t>
      </w:r>
      <w:bookmarkEnd w:id="24"/>
      <w:bookmarkEnd w:id="25"/>
    </w:p>
    <w:p>
      <w:pPr>
        <w:autoSpaceDE w:val="0"/>
        <w:autoSpaceDN w:val="0"/>
        <w:adjustRightInd w:val="0"/>
        <w:spacing w:line="360" w:lineRule="auto"/>
        <w:jc w:val="both"/>
      </w:pPr>
      <w:r>
        <w:t xml:space="preserve">Nebenangebote und Änderungsvorschläge sind nicht zugelassen. </w:t>
      </w:r>
    </w:p>
    <w:p>
      <w:pPr>
        <w:pStyle w:val="berschrift2"/>
        <w:tabs>
          <w:tab w:val="clear" w:pos="1702"/>
          <w:tab w:val="left" w:pos="1701"/>
        </w:tabs>
        <w:spacing w:before="120" w:after="120"/>
        <w:ind w:left="1701"/>
      </w:pPr>
      <w:bookmarkStart w:id="26" w:name="_Toc22715031"/>
      <w:bookmarkStart w:id="27" w:name="_Toc238039266"/>
      <w:r>
        <w:t>Losbildung</w:t>
      </w:r>
      <w:bookmarkEnd w:id="26"/>
      <w:bookmarkEnd w:id="27"/>
    </w:p>
    <w:p>
      <w:pPr>
        <w:pStyle w:val="BasisabsatzCharChar"/>
        <w:tabs>
          <w:tab w:val="left" w:pos="1843"/>
        </w:tabs>
        <w:spacing w:after="0"/>
        <w:ind w:left="0"/>
        <w:rPr>
          <w:szCs w:val="22"/>
        </w:rPr>
      </w:pPr>
      <w:bookmarkStart w:id="28" w:name="_Toc492976295"/>
      <w:bookmarkStart w:id="29" w:name="_Toc494980014"/>
      <w:bookmarkStart w:id="30" w:name="_Toc68331769"/>
      <w:r>
        <w:rPr>
          <w:szCs w:val="22"/>
        </w:rPr>
        <w:t>Es findet keine Losaufteilung statt.</w:t>
      </w:r>
    </w:p>
    <w:p>
      <w:pPr>
        <w:pStyle w:val="BasisabsatzCharChar"/>
        <w:tabs>
          <w:tab w:val="left" w:pos="1843"/>
        </w:tabs>
        <w:spacing w:after="0"/>
        <w:ind w:left="0"/>
        <w:rPr>
          <w:szCs w:val="22"/>
        </w:rPr>
      </w:pPr>
      <w:r>
        <w:rPr>
          <w:szCs w:val="22"/>
        </w:rPr>
        <w:t>Generalunternehmen sind verpflichtet, in angemessenem Umfang Unteraufträge an Unternehmen der mittelständischen Wirtschaft zu vergeben, soweit die vertragsgemäße Ausführung dem nicht entgegensteht. Den unterbeauftragten Unternehmen dürfen keine ungünstigeren Bedingungen auferlegt werden, als zwischen dem Generalunternehmen und dem öffentlichen Auftraggeber vereinbart sind.</w:t>
      </w:r>
    </w:p>
    <w:p>
      <w:pPr>
        <w:pStyle w:val="berschrift2"/>
        <w:tabs>
          <w:tab w:val="clear" w:pos="1702"/>
          <w:tab w:val="left" w:pos="1701"/>
        </w:tabs>
        <w:spacing w:before="120" w:after="120"/>
        <w:ind w:left="1701"/>
      </w:pPr>
      <w:bookmarkStart w:id="31" w:name="_Toc238039267"/>
      <w:r>
        <w:t>Nichtberücksichtigung des Angebotes</w:t>
      </w:r>
      <w:bookmarkEnd w:id="31"/>
    </w:p>
    <w:p>
      <w:pPr>
        <w:pStyle w:val="BasisabsatzCharChar"/>
        <w:ind w:left="0"/>
        <w:rPr>
          <w:rFonts w:cs="Arial"/>
        </w:rPr>
      </w:pPr>
      <w:r>
        <w:rPr>
          <w:rFonts w:cs="Arial"/>
        </w:rPr>
        <w:t>Über die Ablehnung des Angebotes werden die Bieter nach § 134 GWB auch ohne Antrag schriftlich informiert.</w:t>
      </w:r>
    </w:p>
    <w:p>
      <w:pPr>
        <w:pStyle w:val="BasisabsatzCharChar"/>
        <w:ind w:left="0"/>
        <w:rPr>
          <w:rFonts w:cs="Arial"/>
        </w:rPr>
      </w:pPr>
      <w:r>
        <w:rPr>
          <w:rFonts w:cs="Arial"/>
        </w:rPr>
        <w:t>Die Auftraggeberin unterrichtet die Bieter über die Gründe für die Ablehnung des Angebotes nach Eingang eines entsprechenden Antrags spätestens innerhalb von 15 Tagen (§ 62 Abs. 2 VgV).</w:t>
      </w:r>
    </w:p>
    <w:p>
      <w:pPr>
        <w:pStyle w:val="berschrift2"/>
        <w:tabs>
          <w:tab w:val="clear" w:pos="1702"/>
          <w:tab w:val="left" w:pos="1701"/>
          <w:tab w:val="left" w:pos="1843"/>
        </w:tabs>
        <w:jc w:val="left"/>
      </w:pPr>
      <w:bookmarkStart w:id="32" w:name="_Toc238039268"/>
      <w:r>
        <w:t>Änderungen, Berichtigungen und Rücknahme der Angebote</w:t>
      </w:r>
      <w:bookmarkEnd w:id="32"/>
      <w:r>
        <w:t xml:space="preserve"> </w:t>
      </w:r>
    </w:p>
    <w:p>
      <w:pPr>
        <w:pStyle w:val="Standa"/>
        <w:spacing w:after="120" w:line="360" w:lineRule="auto"/>
        <w:jc w:val="both"/>
        <w:rPr>
          <w:rFonts w:cs="Arial"/>
        </w:rPr>
      </w:pPr>
      <w:r>
        <w:rPr>
          <w:rFonts w:cs="Arial"/>
        </w:rPr>
        <w:t>Angebote können, in der Form, in der sie eingereicht wurden, bis zum Abgabetermin berichtigt, geändert oder zurückgezogen werden. Änderungen oder Ergänzungen von Angeboten, die nach Ablauf der genannten Frist bei der ausschreibenden Stelle eingehen, werden nicht berücksichtigt.</w:t>
      </w:r>
    </w:p>
    <w:p>
      <w:pPr>
        <w:pStyle w:val="BasisabsatzCharChar"/>
        <w:ind w:left="0"/>
        <w:rPr>
          <w:rFonts w:cs="Arial"/>
        </w:rPr>
      </w:pPr>
      <w:r>
        <w:rPr>
          <w:rFonts w:cs="Arial"/>
        </w:rPr>
        <w:t>Soweit der Bieter Änderungen in seinen Angebotsunterlagen vorgenommen hat, müssen diese zweifelsfrei und als solche erkennbar sein.</w:t>
      </w:r>
    </w:p>
    <w:p>
      <w:pPr>
        <w:pStyle w:val="berschrift2"/>
        <w:tabs>
          <w:tab w:val="left" w:pos="1843"/>
        </w:tabs>
        <w:rPr>
          <w:rFonts w:cs="Arial"/>
        </w:rPr>
      </w:pPr>
      <w:bookmarkStart w:id="33" w:name="_Toc238039269"/>
      <w:r>
        <w:rPr>
          <w:rFonts w:cs="Arial"/>
        </w:rPr>
        <w:t>Nachfordern von Erklärungen und Nachweisen</w:t>
      </w:r>
      <w:bookmarkEnd w:id="33"/>
    </w:p>
    <w:p>
      <w:pPr>
        <w:autoSpaceDE w:val="0"/>
        <w:autoSpaceDN w:val="0"/>
        <w:adjustRightInd w:val="0"/>
        <w:spacing w:before="240" w:after="240" w:line="360" w:lineRule="auto"/>
        <w:jc w:val="both"/>
        <w:rPr>
          <w:rFonts w:cs="Arial"/>
          <w:color w:val="000000"/>
          <w:szCs w:val="24"/>
        </w:rPr>
      </w:pPr>
      <w:r>
        <w:rPr>
          <w:rFonts w:cs="Arial"/>
          <w:color w:val="000000"/>
          <w:szCs w:val="24"/>
        </w:rPr>
        <w:t>Fehlende und/oder unvollständige Nachweise, Angaben oder Erklärungen können zum Ausschluss des Bieters vom weiteren Vergabeverfahren führen.</w:t>
      </w:r>
    </w:p>
    <w:p>
      <w:pPr>
        <w:autoSpaceDE w:val="0"/>
        <w:autoSpaceDN w:val="0"/>
        <w:adjustRightInd w:val="0"/>
        <w:spacing w:after="240" w:line="360" w:lineRule="auto"/>
        <w:jc w:val="both"/>
        <w:rPr>
          <w:rFonts w:cs="Arial"/>
          <w:color w:val="000000"/>
          <w:szCs w:val="24"/>
        </w:rPr>
      </w:pPr>
      <w:r>
        <w:rPr>
          <w:rFonts w:cs="Arial"/>
          <w:color w:val="000000"/>
          <w:szCs w:val="24"/>
        </w:rPr>
        <w:t xml:space="preserve">Die Vergabestelle behält sich jedoch vor, von den Bietern gem. § 56 Abs. 2 VgV Erklärungen und Nachweise, die auf Anforderung der Auftraggeberin bis zum Ablauf der Angebotsfrist nicht vorgelegt wurden, innerhalb einer festgesetzten Frist nachzufordern. </w:t>
      </w:r>
    </w:p>
    <w:p>
      <w:pPr>
        <w:autoSpaceDE w:val="0"/>
        <w:autoSpaceDN w:val="0"/>
        <w:adjustRightInd w:val="0"/>
        <w:spacing w:after="240" w:line="360" w:lineRule="auto"/>
        <w:jc w:val="both"/>
        <w:rPr>
          <w:rFonts w:cs="Arial"/>
          <w:color w:val="000000"/>
          <w:szCs w:val="24"/>
        </w:rPr>
      </w:pPr>
      <w:r>
        <w:rPr>
          <w:rFonts w:cs="Arial"/>
          <w:color w:val="000000"/>
          <w:szCs w:val="24"/>
        </w:rPr>
        <w:lastRenderedPageBreak/>
        <w:t>Wenn die nachgeforderten Nachweise, Angaben oder Erklärungen daraufhin nicht innerhalb der gesetzten Frist bei der Vergabestelle eingehen, führt dies zum Ausschluss vom weiteren Vergabeverfahren.</w:t>
      </w:r>
    </w:p>
    <w:p>
      <w:pPr>
        <w:pStyle w:val="berschrift2"/>
        <w:tabs>
          <w:tab w:val="left" w:pos="1843"/>
        </w:tabs>
        <w:jc w:val="left"/>
      </w:pPr>
      <w:bookmarkStart w:id="34" w:name="_Toc6382947"/>
      <w:bookmarkStart w:id="35" w:name="_Toc238039270"/>
      <w:bookmarkEnd w:id="28"/>
      <w:bookmarkEnd w:id="29"/>
      <w:bookmarkEnd w:id="30"/>
      <w:r>
        <w:t>Vergütung/Kostenerstattung im gesamten Vergabeverfahren</w:t>
      </w:r>
      <w:bookmarkEnd w:id="34"/>
      <w:bookmarkEnd w:id="35"/>
    </w:p>
    <w:p>
      <w:pPr>
        <w:pStyle w:val="BasisabsatzCharChar"/>
        <w:spacing w:after="0"/>
        <w:ind w:left="0"/>
        <w:rPr>
          <w:rFonts w:cs="Arial"/>
        </w:rPr>
      </w:pPr>
      <w:r>
        <w:rPr>
          <w:rFonts w:cs="Arial"/>
        </w:rPr>
        <w:t>Für die Erstellung der Angebote und die Beteiligung am Verfahren wird keine Vergütung gewährt. Mit Abgabe eines Angebotes verzichtet der Bieter auf die Geltendmachung entstandener sowie evtl. entstehender Kosten.</w:t>
      </w:r>
    </w:p>
    <w:p>
      <w:pPr>
        <w:pStyle w:val="berschrift2"/>
        <w:tabs>
          <w:tab w:val="left" w:pos="1843"/>
        </w:tabs>
        <w:jc w:val="left"/>
      </w:pPr>
      <w:bookmarkStart w:id="36" w:name="_Toc157923716"/>
      <w:bookmarkStart w:id="37" w:name="_Toc185403908"/>
      <w:bookmarkStart w:id="38" w:name="_Toc3463397"/>
      <w:bookmarkStart w:id="39" w:name="_Toc6382948"/>
      <w:bookmarkStart w:id="40" w:name="_Toc238039271"/>
      <w:r>
        <w:t>Verwendung der Unterlagen</w:t>
      </w:r>
      <w:bookmarkEnd w:id="36"/>
      <w:bookmarkEnd w:id="37"/>
      <w:bookmarkEnd w:id="38"/>
      <w:bookmarkEnd w:id="39"/>
      <w:bookmarkEnd w:id="40"/>
    </w:p>
    <w:p>
      <w:pPr>
        <w:pStyle w:val="Standa"/>
        <w:spacing w:after="240" w:line="360" w:lineRule="auto"/>
        <w:jc w:val="both"/>
        <w:rPr>
          <w:rFonts w:cs="Arial"/>
        </w:rPr>
      </w:pPr>
      <w:r>
        <w:rPr>
          <w:rFonts w:cs="Arial"/>
        </w:rPr>
        <w:t>Die Vergabe- und Vertragsunterlagen bleiben inhaltlich Eigentum der ausschreibenden Stelle. Sie dürfen nur zum Erstellen des Angebotes verwendet werden. Jede Veröffentlichung (auch auszugsweise) oder Weitergabe an Dritte ist</w:t>
      </w:r>
      <w:r>
        <w:rPr>
          <w:rFonts w:ascii="Calibri" w:hAnsi="Calibri"/>
        </w:rPr>
        <w:t xml:space="preserve"> </w:t>
      </w:r>
      <w:r>
        <w:rPr>
          <w:rFonts w:cs="Arial"/>
        </w:rPr>
        <w:t>ohne schriftliche Genehmigung der ausschreibenden Stelle nicht statthaft.</w:t>
      </w:r>
    </w:p>
    <w:p>
      <w:pPr>
        <w:pStyle w:val="berschrift2"/>
        <w:tabs>
          <w:tab w:val="left" w:pos="1843"/>
        </w:tabs>
        <w:jc w:val="left"/>
      </w:pPr>
      <w:bookmarkStart w:id="41" w:name="_Toc494980017"/>
      <w:bookmarkStart w:id="42" w:name="_Toc3463398"/>
      <w:bookmarkStart w:id="43" w:name="_Toc6382949"/>
      <w:bookmarkStart w:id="44" w:name="_Toc238039272"/>
      <w:r>
        <w:t>Rückgabe der Unterlagen</w:t>
      </w:r>
      <w:bookmarkEnd w:id="41"/>
      <w:bookmarkEnd w:id="42"/>
      <w:bookmarkEnd w:id="43"/>
      <w:bookmarkEnd w:id="44"/>
    </w:p>
    <w:p>
      <w:pPr>
        <w:pStyle w:val="BasisabsatzCharChar"/>
        <w:tabs>
          <w:tab w:val="left" w:pos="1843"/>
        </w:tabs>
        <w:spacing w:after="0"/>
        <w:ind w:left="0"/>
        <w:rPr>
          <w:rFonts w:cs="Arial"/>
        </w:rPr>
      </w:pPr>
      <w:r>
        <w:rPr>
          <w:rFonts w:cs="Arial"/>
        </w:rPr>
        <w:t>Sämtliche Angebotsunterlagen werden Eigentum der ausschreibenden Stelle. Sie werden nur zur Auswertung der Angebote und Entscheidung über den Zuschlag verwendet. Eine Rückgabe der Angebotsunterlagen an den Bieter ist nicht möglich und nicht vorgesehen. Zur Wahrung seiner Interessen kann der Bieter sein Angebot mit dem Vermerk „vertraulich“ versehen.</w:t>
      </w:r>
    </w:p>
    <w:p>
      <w:pPr>
        <w:pStyle w:val="berschrift2"/>
        <w:tabs>
          <w:tab w:val="left" w:pos="1843"/>
        </w:tabs>
        <w:jc w:val="left"/>
      </w:pPr>
      <w:bookmarkStart w:id="45" w:name="_Toc6382951"/>
      <w:bookmarkStart w:id="46" w:name="_Toc238039273"/>
      <w:r>
        <w:t>Bietergemeinschaften</w:t>
      </w:r>
      <w:bookmarkEnd w:id="45"/>
      <w:bookmarkEnd w:id="46"/>
    </w:p>
    <w:p>
      <w:pPr>
        <w:spacing w:line="360" w:lineRule="auto"/>
        <w:jc w:val="both"/>
      </w:pPr>
      <w:r>
        <w:t xml:space="preserve">Angebote von Bietergemeinschaften und anderen gemeinschaftlichen Bietern, deren sämtliche Mitglieder mit Namen und Anschrift zu benennen sind, finden nur Berücksichtigung, wenn </w:t>
      </w:r>
    </w:p>
    <w:p>
      <w:pPr>
        <w:pStyle w:val="Listenabsatz"/>
        <w:numPr>
          <w:ilvl w:val="0"/>
          <w:numId w:val="14"/>
        </w:numPr>
        <w:spacing w:line="360" w:lineRule="auto"/>
        <w:jc w:val="both"/>
      </w:pPr>
      <w:r>
        <w:t xml:space="preserve">im Angebot ein Mitglied als bevollmächtigter Vertreter für die Durchführung des Vertrages benannt ist, </w:t>
      </w:r>
    </w:p>
    <w:p>
      <w:pPr>
        <w:pStyle w:val="Listenabsatz"/>
        <w:numPr>
          <w:ilvl w:val="0"/>
          <w:numId w:val="14"/>
        </w:numPr>
        <w:spacing w:line="360" w:lineRule="auto"/>
        <w:jc w:val="both"/>
      </w:pPr>
      <w:r>
        <w:t xml:space="preserve">sich die Mitglieder*innen der Bietergemeinschaft für alle im Zusammenhang mit dem Vertrag entstehenden Verbindlichkeiten zur gesamtschuldnerischen Haftung verpflichten, </w:t>
      </w:r>
    </w:p>
    <w:p>
      <w:pPr>
        <w:pStyle w:val="Listenabsatz"/>
        <w:numPr>
          <w:ilvl w:val="0"/>
          <w:numId w:val="14"/>
        </w:numPr>
        <w:spacing w:after="240" w:line="360" w:lineRule="auto"/>
        <w:jc w:val="both"/>
      </w:pPr>
      <w:r>
        <w:t xml:space="preserve">diese Punkte durch eine von </w:t>
      </w:r>
      <w:r>
        <w:rPr>
          <w:b/>
        </w:rPr>
        <w:t>allen</w:t>
      </w:r>
      <w:r>
        <w:t xml:space="preserve"> Mitgliedern der Bietergemeinschaft eigenhändig und rechtsverbindlich unterschriebene, gesonderte Erklärung bestätigt werden.</w:t>
      </w:r>
    </w:p>
    <w:p>
      <w:pPr>
        <w:spacing w:after="240" w:line="360" w:lineRule="auto"/>
        <w:jc w:val="both"/>
      </w:pPr>
      <w:r>
        <w:lastRenderedPageBreak/>
        <w:t xml:space="preserve">Sofern nach den Vergabe- und Vertragsunterlagen im Rahmen der Angebotserstellung Unterschriften gefordert sind, müssen diese von allen Mitglieder*innen der Bietergemeinschaft geleistet werden. </w:t>
      </w:r>
    </w:p>
    <w:p>
      <w:pPr>
        <w:autoSpaceDE w:val="0"/>
        <w:autoSpaceDN w:val="0"/>
        <w:adjustRightInd w:val="0"/>
        <w:spacing w:after="240" w:line="360" w:lineRule="auto"/>
        <w:jc w:val="both"/>
      </w:pPr>
      <w:r>
        <w:t xml:space="preserve">Zur Vereinfachung kann </w:t>
      </w:r>
      <w:r>
        <w:rPr>
          <w:rFonts w:cs="Arial"/>
          <w:szCs w:val="22"/>
          <w:lang w:eastAsia="de-DE"/>
        </w:rPr>
        <w:t xml:space="preserve">ein für die Durchführung des Vergabeverfahrens bevollmächtigter Vertreter </w:t>
      </w:r>
      <w:r>
        <w:t xml:space="preserve">durch die Erklärung der Bietergemeinschaft zusätzlich ermächtigt werden, die im Rahmen der Angebotserstellung zu leistenden Unterschriften für die gemeinschaftlich bietenden Unternehmen zu leisten. Diese Ermächtigung ist </w:t>
      </w:r>
      <w:r>
        <w:rPr>
          <w:b/>
        </w:rPr>
        <w:t>ausdrücklich</w:t>
      </w:r>
      <w:r>
        <w:t xml:space="preserve"> in der o.g. Erklärung zu erteilen. </w:t>
      </w:r>
    </w:p>
    <w:p>
      <w:pPr>
        <w:autoSpaceDE w:val="0"/>
        <w:autoSpaceDN w:val="0"/>
        <w:adjustRightInd w:val="0"/>
        <w:spacing w:after="240" w:line="360" w:lineRule="auto"/>
        <w:jc w:val="both"/>
        <w:rPr>
          <w:rFonts w:cs="Arial"/>
        </w:rPr>
      </w:pPr>
      <w:r>
        <w:rPr>
          <w:rFonts w:cs="Arial"/>
        </w:rPr>
        <w:t xml:space="preserve">Alle geforderten Eignungsnachweise sind von sämtlichen Mitgliedern der Bietergemeinschaft vorzulegen. </w:t>
      </w:r>
    </w:p>
    <w:p>
      <w:pPr>
        <w:pStyle w:val="berschrift2"/>
        <w:tabs>
          <w:tab w:val="left" w:pos="1843"/>
        </w:tabs>
      </w:pPr>
      <w:bookmarkStart w:id="47" w:name="_Toc6382952"/>
      <w:bookmarkStart w:id="48" w:name="_Toc238039274"/>
      <w:r>
        <w:t>Nachunternehmer</w:t>
      </w:r>
      <w:bookmarkEnd w:id="47"/>
      <w:bookmarkEnd w:id="48"/>
    </w:p>
    <w:p>
      <w:pPr>
        <w:spacing w:after="240" w:line="360" w:lineRule="auto"/>
        <w:jc w:val="both"/>
        <w:rPr>
          <w:rFonts w:cs="Arial"/>
        </w:rPr>
      </w:pPr>
      <w:r>
        <w:rPr>
          <w:rFonts w:cs="Arial"/>
        </w:rPr>
        <w:t xml:space="preserve">Beabsichtigt der Bieter, Teile von Leistungen durch Nachunternehmen ausführen zu lassen, hat er alle zur Leistungserbringung vorgesehenen Nachunternehmen mit Namen und Anschrift im Angebot zu benennen. Ebenfalls ist im Angebot anzugeben, für welche Teile der Leistung und in welchem Umfang der Einsatz von Nachunternehmen vorgesehen ist. Dabei ist sicherzustellen, dass dies mit der vertragsgemäßen Ausführung der Leistung vereinbart werden kann. </w:t>
      </w:r>
    </w:p>
    <w:p>
      <w:pPr>
        <w:spacing w:after="240" w:line="360" w:lineRule="auto"/>
        <w:jc w:val="both"/>
        <w:rPr>
          <w:rFonts w:cs="Arial"/>
        </w:rPr>
      </w:pPr>
      <w:r>
        <w:rPr>
          <w:rFonts w:cs="Arial"/>
        </w:rPr>
        <w:t xml:space="preserve">Der Bieter muss sicherstellen, dass ein Nachunternehmen die Leistungen nicht seinerseits ohne vorherige schriftliche Zustimmung der Auftraggeberin weitervergibt. </w:t>
      </w:r>
    </w:p>
    <w:p>
      <w:pPr>
        <w:spacing w:line="360" w:lineRule="auto"/>
        <w:jc w:val="both"/>
        <w:rPr>
          <w:rFonts w:cs="Arial"/>
        </w:rPr>
      </w:pPr>
      <w:r>
        <w:rPr>
          <w:rFonts w:cs="Arial"/>
        </w:rPr>
        <w:t xml:space="preserve">Der/die Auftragnehmer*in ist verpflichtet, bei der Übertragung eines Unterauftrags </w:t>
      </w:r>
    </w:p>
    <w:p>
      <w:pPr>
        <w:pStyle w:val="Listenabsatz"/>
        <w:numPr>
          <w:ilvl w:val="0"/>
          <w:numId w:val="14"/>
        </w:numPr>
        <w:spacing w:line="360" w:lineRule="auto"/>
        <w:ind w:left="709" w:hanging="283"/>
        <w:jc w:val="both"/>
        <w:rPr>
          <w:rFonts w:cs="Arial"/>
        </w:rPr>
      </w:pPr>
      <w:r>
        <w:rPr>
          <w:rFonts w:cs="Arial"/>
        </w:rPr>
        <w:t xml:space="preserve">nach wettbewerblichen Gesichtspunkten zu verfahren, </w:t>
      </w:r>
    </w:p>
    <w:p>
      <w:pPr>
        <w:pStyle w:val="Listenabsatz"/>
        <w:numPr>
          <w:ilvl w:val="0"/>
          <w:numId w:val="14"/>
        </w:numPr>
        <w:spacing w:line="360" w:lineRule="auto"/>
        <w:ind w:left="709" w:hanging="283"/>
        <w:jc w:val="both"/>
        <w:rPr>
          <w:rFonts w:cs="Arial"/>
        </w:rPr>
      </w:pPr>
      <w:r>
        <w:rPr>
          <w:rFonts w:cs="Arial"/>
        </w:rPr>
        <w:t>kleine und mittlere Unternehmen angemessen zu beteiligen,</w:t>
      </w:r>
    </w:p>
    <w:p>
      <w:pPr>
        <w:pStyle w:val="Listenabsatz"/>
        <w:numPr>
          <w:ilvl w:val="0"/>
          <w:numId w:val="14"/>
        </w:numPr>
        <w:spacing w:after="240" w:line="360" w:lineRule="auto"/>
        <w:ind w:left="709" w:hanging="283"/>
        <w:jc w:val="both"/>
        <w:rPr>
          <w:rFonts w:cs="Arial"/>
        </w:rPr>
      </w:pPr>
      <w:r>
        <w:rPr>
          <w:rFonts w:cs="Arial"/>
        </w:rPr>
        <w:t xml:space="preserve">der Nachunternehmer insgesamt keine ungünstigeren Bedingungen – insbesondere hinsichtlich der Zahlungsweise und Sicherheitsleistungen – zu stellen als zwischen ihm und der Auftraggeberin vereinbart sind. </w:t>
      </w:r>
    </w:p>
    <w:p>
      <w:pPr>
        <w:pStyle w:val="BasisabsatzCharChar"/>
        <w:ind w:left="0"/>
        <w:rPr>
          <w:rFonts w:cs="Arial"/>
        </w:rPr>
      </w:pPr>
      <w:bookmarkStart w:id="49" w:name="_Toc3463402"/>
      <w:r>
        <w:rPr>
          <w:rFonts w:cs="Arial"/>
        </w:rPr>
        <w:t>Der Bieter trägt im Falle der Auftragserteilung die alleinige Verantwortung für die vertragsgemäße und fachgerechte Ausführung der Leistung.</w:t>
      </w:r>
    </w:p>
    <w:p>
      <w:pPr>
        <w:autoSpaceDE w:val="0"/>
        <w:autoSpaceDN w:val="0"/>
        <w:adjustRightInd w:val="0"/>
        <w:spacing w:after="240" w:line="360" w:lineRule="auto"/>
        <w:jc w:val="both"/>
        <w:rPr>
          <w:rFonts w:cs="Arial"/>
        </w:rPr>
      </w:pPr>
      <w:r>
        <w:rPr>
          <w:rFonts w:cs="Arial"/>
        </w:rPr>
        <w:t xml:space="preserve">Alle geforderten Eignungsnachweise sind auch von den Nachunternehmer vorzulegen. </w:t>
      </w:r>
    </w:p>
    <w:p>
      <w:pPr>
        <w:spacing w:after="240" w:line="360" w:lineRule="auto"/>
        <w:jc w:val="both"/>
        <w:rPr>
          <w:rFonts w:cs="Arial"/>
        </w:rPr>
      </w:pPr>
      <w:r>
        <w:rPr>
          <w:rFonts w:cs="Arial"/>
        </w:rPr>
        <w:t xml:space="preserve">Die Einschaltung weiterer Nachunternehmer als der im Angebot benannten, bedarf der vorherigen ausdrücklichen Zustimmung der Auftraggeberin. </w:t>
      </w:r>
    </w:p>
    <w:p>
      <w:pPr>
        <w:pStyle w:val="berschrift2"/>
        <w:tabs>
          <w:tab w:val="left" w:pos="1843"/>
        </w:tabs>
      </w:pPr>
      <w:bookmarkStart w:id="50" w:name="_Toc6382957"/>
      <w:bookmarkStart w:id="51" w:name="_Toc238039275"/>
      <w:bookmarkEnd w:id="49"/>
      <w:r>
        <w:lastRenderedPageBreak/>
        <w:t>Verpflichtung zur Einhaltung des Tariftreue- und Mindestlohngesetzes Rheinland-Pfalz (LTTG)</w:t>
      </w:r>
      <w:bookmarkEnd w:id="50"/>
      <w:bookmarkEnd w:id="51"/>
    </w:p>
    <w:p>
      <w:pPr>
        <w:spacing w:after="240" w:line="360" w:lineRule="auto"/>
        <w:jc w:val="both"/>
      </w:pPr>
      <w:r>
        <w:t>Der Bieter/jedes Mitglied einer Bietergemeinschaft/jedes vorgesehene Nachunternehmen muss bei Angebotsabgabe die erforderliche Verpflichtungserklärung (Datei: “04_LTTG_Erklaerung_1_2026 247“) abgeben.</w:t>
      </w:r>
    </w:p>
    <w:p>
      <w:pPr>
        <w:pStyle w:val="berschrift2"/>
        <w:tabs>
          <w:tab w:val="left" w:pos="1843"/>
        </w:tabs>
      </w:pPr>
      <w:bookmarkStart w:id="52" w:name="_Toc6382958"/>
      <w:bookmarkStart w:id="53" w:name="_Toc238039276"/>
      <w:r>
        <w:t>Verpflichtung zur Einhaltung der Bestimmungen der Datenschutz-Grundverordnung (DSGVO) und des Landesdatenschutzgesetzes von Rheinland-Pfalz (LDSG)</w:t>
      </w:r>
      <w:bookmarkEnd w:id="52"/>
      <w:bookmarkEnd w:id="53"/>
    </w:p>
    <w:p>
      <w:pPr>
        <w:spacing w:after="240" w:line="360" w:lineRule="auto"/>
        <w:jc w:val="both"/>
        <w:rPr>
          <w:rFonts w:cs="Arial"/>
          <w:szCs w:val="22"/>
          <w:lang w:eastAsia="de-DE"/>
        </w:rPr>
      </w:pPr>
      <w:r>
        <w:rPr>
          <w:rFonts w:cs="Arial"/>
          <w:szCs w:val="22"/>
          <w:lang w:eastAsia="de-DE"/>
        </w:rPr>
        <w:t xml:space="preserve">Bei Bedarf hat sich der Bieter/jedes Mitglied einer Bietergemeinschaft/ jedes vorgesehene Nachunternehmen zu verpflichten, bei der Ausführung des Auftrags die Bestimmungen </w:t>
      </w:r>
      <w:r>
        <w:rPr>
          <w:rFonts w:cs="Arial"/>
        </w:rPr>
        <w:t xml:space="preserve">der Datenschutz-Grundverordnung (DSGVO) und des Landesdatenschutzgesetzes von Rheinland-Pfalz (LDSG) </w:t>
      </w:r>
      <w:r>
        <w:rPr>
          <w:rFonts w:cs="Arial"/>
          <w:szCs w:val="22"/>
          <w:lang w:eastAsia="de-DE"/>
        </w:rPr>
        <w:t>einzuhalten.</w:t>
      </w:r>
    </w:p>
    <w:p>
      <w:pPr>
        <w:pStyle w:val="berschrift2"/>
        <w:tabs>
          <w:tab w:val="left" w:pos="1843"/>
        </w:tabs>
      </w:pPr>
      <w:bookmarkStart w:id="54" w:name="_Toc521910310"/>
      <w:bookmarkStart w:id="55" w:name="_Toc3463409"/>
      <w:bookmarkStart w:id="56" w:name="_Toc6382960"/>
      <w:bookmarkStart w:id="57" w:name="_Toc238039277"/>
      <w:r>
        <w:t>Speicherung und Verarbeitung personenbezogener Daten</w:t>
      </w:r>
      <w:bookmarkEnd w:id="54"/>
      <w:bookmarkEnd w:id="55"/>
      <w:bookmarkEnd w:id="56"/>
      <w:bookmarkEnd w:id="57"/>
    </w:p>
    <w:p>
      <w:pPr>
        <w:autoSpaceDE w:val="0"/>
        <w:autoSpaceDN w:val="0"/>
        <w:adjustRightInd w:val="0"/>
        <w:spacing w:line="360" w:lineRule="auto"/>
        <w:jc w:val="both"/>
        <w:rPr>
          <w:rFonts w:cs="Arial"/>
          <w:szCs w:val="22"/>
          <w:lang w:eastAsia="de-DE"/>
        </w:rPr>
      </w:pPr>
      <w:r>
        <w:rPr>
          <w:rFonts w:cs="Arial"/>
          <w:szCs w:val="22"/>
          <w:lang w:eastAsia="de-DE"/>
        </w:rPr>
        <w:t>Im Rahmen des Vergabeverfahrens erbetene personenbezogene Angaben werden hierfür gespeichert und verarbeitet. Eine anderweitige Weitergabe an unbeteiligte Dritte findet nicht statt. Der Bieter erklärt sich mit Abgabe seines Angebots mit diesem Vorgehen einverstanden.</w:t>
      </w:r>
    </w:p>
    <w:p>
      <w:pPr>
        <w:pStyle w:val="berschrift2"/>
        <w:tabs>
          <w:tab w:val="left" w:pos="1843"/>
        </w:tabs>
      </w:pPr>
      <w:bookmarkStart w:id="58" w:name="_Toc500765947"/>
      <w:bookmarkStart w:id="59" w:name="_Toc521910311"/>
      <w:bookmarkStart w:id="60" w:name="_Toc3463410"/>
      <w:bookmarkStart w:id="61" w:name="_Toc6382961"/>
      <w:bookmarkStart w:id="62" w:name="_Toc238039278"/>
      <w:r>
        <w:t>Doppelbewerbungen</w:t>
      </w:r>
      <w:bookmarkEnd w:id="58"/>
      <w:bookmarkEnd w:id="59"/>
      <w:bookmarkEnd w:id="60"/>
      <w:bookmarkEnd w:id="61"/>
      <w:bookmarkEnd w:id="62"/>
    </w:p>
    <w:p>
      <w:pPr>
        <w:autoSpaceDE w:val="0"/>
        <w:autoSpaceDN w:val="0"/>
        <w:adjustRightInd w:val="0"/>
        <w:spacing w:line="360" w:lineRule="auto"/>
        <w:jc w:val="both"/>
        <w:rPr>
          <w:rFonts w:cs="Arial"/>
          <w:szCs w:val="22"/>
          <w:lang w:eastAsia="de-DE"/>
        </w:rPr>
      </w:pPr>
      <w:r>
        <w:rPr>
          <w:rFonts w:cs="Arial"/>
          <w:szCs w:val="22"/>
          <w:lang w:eastAsia="de-DE"/>
        </w:rPr>
        <w:t>Beteiligt sich ein Bieter an demselben Vergabeverfahren mehrfach - zum Beispiel als einzelner Bieter und als Mitglied einer Bietergemeinschaft oder als Mitglied an verschiedenen Bietergemeinschaften - so werden sämtliche Angebote des Bieters, die in Bezug auf die Vergabe eine unzulässige wettbewerbsbeschränkende Abrede getroffen haben, vom weiteren Verfahren ausgeschlossen.</w:t>
      </w:r>
    </w:p>
    <w:p>
      <w:pPr>
        <w:pStyle w:val="berschrift2"/>
        <w:tabs>
          <w:tab w:val="left" w:pos="1843"/>
        </w:tabs>
      </w:pPr>
      <w:bookmarkStart w:id="63" w:name="_Toc459206621"/>
      <w:bookmarkStart w:id="64" w:name="_Toc500765948"/>
      <w:bookmarkStart w:id="65" w:name="_Toc521910312"/>
      <w:bookmarkStart w:id="66" w:name="_Toc3463411"/>
      <w:bookmarkStart w:id="67" w:name="_Toc6382962"/>
      <w:bookmarkStart w:id="68" w:name="_Toc238039279"/>
      <w:r>
        <w:t>Verschwiegenheit/Vertraulichkeit</w:t>
      </w:r>
      <w:bookmarkEnd w:id="63"/>
      <w:bookmarkEnd w:id="64"/>
      <w:bookmarkEnd w:id="65"/>
      <w:bookmarkEnd w:id="66"/>
      <w:bookmarkEnd w:id="67"/>
      <w:bookmarkEnd w:id="68"/>
    </w:p>
    <w:p>
      <w:pPr>
        <w:pStyle w:val="BasisabsatzCharChar"/>
        <w:ind w:left="0"/>
      </w:pPr>
      <w:r>
        <w:t>Der Bieter hat - auch nach Beendigung des Vergabeverfahrens - über die ihm bei seiner Tätigkeit bekannt gewordenen dienstlichen Angelegenheiten der Auftraggeberin Verschwiegenheit zu bewahren. Er hat hierzu auch die bei der Erstellung des Angebotes beschäftigte Mitarbeiter*innen sowie evtl. Nachunternehmer*innen zu verpflichten.</w:t>
      </w:r>
    </w:p>
    <w:p>
      <w:pPr>
        <w:pStyle w:val="BasisabsatzCharChar"/>
        <w:ind w:left="0"/>
      </w:pPr>
      <w:r>
        <w:lastRenderedPageBreak/>
        <w:t>Ein Verstoß des Bieters gegen die Verschwiegenheitspflicht verpflichtet zum Ersatz aller hieraus erwachsenden Schäden.</w:t>
      </w:r>
    </w:p>
    <w:p>
      <w:pPr>
        <w:pStyle w:val="berschrift2"/>
        <w:tabs>
          <w:tab w:val="left" w:pos="1843"/>
        </w:tabs>
      </w:pPr>
      <w:bookmarkStart w:id="69" w:name="_Toc459206619"/>
      <w:bookmarkStart w:id="70" w:name="_Toc500765951"/>
      <w:bookmarkStart w:id="71" w:name="_Toc521910315"/>
      <w:bookmarkStart w:id="72" w:name="_Toc3463413"/>
      <w:bookmarkStart w:id="73" w:name="_Toc6382963"/>
      <w:bookmarkStart w:id="74" w:name="_Toc238039280"/>
      <w:r>
        <w:t>Personal</w:t>
      </w:r>
      <w:bookmarkEnd w:id="69"/>
      <w:bookmarkEnd w:id="70"/>
      <w:bookmarkEnd w:id="71"/>
      <w:bookmarkEnd w:id="72"/>
      <w:bookmarkEnd w:id="73"/>
      <w:bookmarkEnd w:id="74"/>
    </w:p>
    <w:p>
      <w:pPr>
        <w:spacing w:after="240" w:line="360" w:lineRule="auto"/>
        <w:jc w:val="both"/>
        <w:rPr>
          <w:rFonts w:cs="Arial"/>
          <w:szCs w:val="22"/>
        </w:rPr>
      </w:pPr>
      <w:r>
        <w:rPr>
          <w:rFonts w:cs="Arial"/>
          <w:szCs w:val="22"/>
        </w:rPr>
        <w:t>Treten während der Vertragsdauer sachliche Gründe oder Mängel auf, die der Tätigkeit eines/einer Mitarbeiter*in im Rahmen der Auftragserfüllung entgegenstehen, teilt die Auftraggeberin dies dem/der Auftragnehmer*in unverzüglich mit. Sofern der/die Auftragnehmer*in dem bestehenden Grund/Mangel nicht umgehend abhilft, ist die Auftraggeberin berechtigt, den Austausch der Mitarbeiter*in zu verlangen. In diesem Fall trägt der/die Auftragnehmer*in die Kosten für die Einarbeitung neu eingesetzter Mitarbeiter*innen. Vertragsbestandteile, welche die Kosten für die Einarbeitung abweichend regeln, treten damit außer Kraft.</w:t>
      </w:r>
    </w:p>
    <w:p>
      <w:pPr>
        <w:pStyle w:val="BasisabsatzCharChar"/>
        <w:ind w:left="0"/>
      </w:pPr>
      <w:r>
        <w:t>Das von der/die Auftragnehmer*in eingesetzte Personal wird verpflichtet,</w:t>
      </w:r>
    </w:p>
    <w:p>
      <w:pPr>
        <w:pStyle w:val="BasisabsatzCharChar"/>
        <w:numPr>
          <w:ilvl w:val="0"/>
          <w:numId w:val="16"/>
        </w:numPr>
        <w:ind w:left="709" w:hanging="283"/>
      </w:pPr>
      <w:r>
        <w:t>die geltenden Datenschutzbestimmungen der Auftraggeberin einzuhalten.</w:t>
      </w:r>
    </w:p>
    <w:p>
      <w:pPr>
        <w:numPr>
          <w:ilvl w:val="0"/>
          <w:numId w:val="16"/>
        </w:numPr>
        <w:tabs>
          <w:tab w:val="num" w:pos="1560"/>
        </w:tabs>
        <w:spacing w:after="120" w:line="360" w:lineRule="auto"/>
        <w:ind w:left="709" w:hanging="283"/>
        <w:jc w:val="both"/>
      </w:pPr>
      <w:r>
        <w:t>insbesondere Vorgänge, Daten und Prozesse nur insoweit zu betrachten wie notwendig und Dritten nicht zugänglich zu machen,</w:t>
      </w:r>
    </w:p>
    <w:p>
      <w:pPr>
        <w:numPr>
          <w:ilvl w:val="0"/>
          <w:numId w:val="16"/>
        </w:numPr>
        <w:tabs>
          <w:tab w:val="num" w:pos="1560"/>
        </w:tabs>
        <w:spacing w:after="120" w:line="360" w:lineRule="auto"/>
        <w:ind w:left="709" w:hanging="283"/>
        <w:jc w:val="both"/>
      </w:pPr>
      <w:r>
        <w:t>über erlangtes Wissen – auch nach Ende der Vertragslaufzeit – generell Verschwiegenheit zu bewahren.</w:t>
      </w:r>
    </w:p>
    <w:p>
      <w:pPr>
        <w:spacing w:after="120" w:line="360" w:lineRule="auto"/>
        <w:jc w:val="both"/>
        <w:rPr>
          <w:rFonts w:cs="Arial"/>
          <w:szCs w:val="22"/>
        </w:rPr>
      </w:pPr>
      <w:r>
        <w:rPr>
          <w:rFonts w:cs="Arial"/>
          <w:szCs w:val="22"/>
        </w:rPr>
        <w:t xml:space="preserve">Sollte es der Auftragsgegenstand erfordern, wird darüber hinaus eine Vereinbarung über Auftragsdatenverarbeitung gem. </w:t>
      </w:r>
      <w:r>
        <w:rPr>
          <w:rFonts w:cs="Arial"/>
        </w:rPr>
        <w:t>DSGVO</w:t>
      </w:r>
      <w:r>
        <w:rPr>
          <w:rFonts w:cs="Arial"/>
          <w:szCs w:val="22"/>
        </w:rPr>
        <w:t xml:space="preserve"> und LDSG geschlossen.</w:t>
      </w:r>
    </w:p>
    <w:p>
      <w:pPr>
        <w:pStyle w:val="berschrift2"/>
        <w:tabs>
          <w:tab w:val="left" w:pos="1843"/>
        </w:tabs>
      </w:pPr>
      <w:bookmarkStart w:id="75" w:name="_Toc6382964"/>
      <w:bookmarkStart w:id="76" w:name="_Toc238039281"/>
      <w:r>
        <w:t>Sprache</w:t>
      </w:r>
      <w:bookmarkEnd w:id="75"/>
      <w:bookmarkEnd w:id="76"/>
    </w:p>
    <w:p>
      <w:pPr>
        <w:pStyle w:val="BasisabsatzCharChar"/>
        <w:ind w:left="0"/>
      </w:pPr>
      <w:r>
        <w:t xml:space="preserve">Das Angebot, einschließlich aller Unterlagen, ist in deutscher Sprache abzufassen. Der Schriftverkehr mit der Auftraggeberin ist in deutscher Sprache zu führen. </w:t>
      </w:r>
    </w:p>
    <w:p>
      <w:pPr>
        <w:pStyle w:val="BasisabsatzCharChar"/>
        <w:spacing w:before="240"/>
        <w:ind w:left="0"/>
      </w:pPr>
      <w:r>
        <w:t>Benannte Ansprechpartner*innen sowie die zur Vertragserfüllung tätigen Mitarbeiter*innen (auch der Nachunternehmer*innen) müssen die deutsche Sprache fließend in Wort und Schrift beherrschen.</w:t>
      </w:r>
    </w:p>
    <w:p>
      <w:pPr>
        <w:pStyle w:val="berschrift1"/>
        <w:pageBreakBefore w:val="0"/>
        <w:tabs>
          <w:tab w:val="left" w:pos="1843"/>
        </w:tabs>
        <w:rPr>
          <w:rFonts w:cs="Arial"/>
        </w:rPr>
      </w:pPr>
      <w:r>
        <w:rPr>
          <w:highlight w:val="yellow"/>
        </w:rPr>
        <w:br w:type="column"/>
      </w:r>
      <w:bookmarkStart w:id="77" w:name="_Toc238039282"/>
      <w:r>
        <w:rPr>
          <w:rFonts w:cs="Arial"/>
        </w:rPr>
        <w:lastRenderedPageBreak/>
        <w:t>Angebotsprüfung</w:t>
      </w:r>
      <w:bookmarkEnd w:id="77"/>
      <w:r>
        <w:rPr>
          <w:rFonts w:cs="Arial"/>
        </w:rPr>
        <w:t xml:space="preserve"> </w:t>
      </w:r>
    </w:p>
    <w:p>
      <w:pPr>
        <w:pStyle w:val="BasisabsatzCharChar"/>
        <w:ind w:left="0"/>
        <w:rPr>
          <w:rFonts w:cs="Arial"/>
        </w:rPr>
      </w:pPr>
      <w:r>
        <w:rPr>
          <w:rFonts w:cs="Arial"/>
        </w:rPr>
        <w:t>Mit der Abgabe des Angebotes akzeptiert der Bieter die dieser Ausschreibung zugrundeliegenden Festlegungen und Anforderungen.</w:t>
      </w:r>
    </w:p>
    <w:p>
      <w:pPr>
        <w:pStyle w:val="berschrift2"/>
        <w:rPr>
          <w:rFonts w:cs="Arial"/>
        </w:rPr>
      </w:pPr>
      <w:bookmarkStart w:id="78" w:name="_Toc238039283"/>
      <w:r>
        <w:rPr>
          <w:rFonts w:cs="Arial"/>
        </w:rPr>
        <w:t>Prüfungs- und Wertungsverfahren</w:t>
      </w:r>
      <w:bookmarkEnd w:id="78"/>
    </w:p>
    <w:p>
      <w:pPr>
        <w:spacing w:after="240" w:line="360" w:lineRule="auto"/>
        <w:jc w:val="both"/>
        <w:rPr>
          <w:rFonts w:cs="Arial"/>
        </w:rPr>
      </w:pPr>
      <w:r>
        <w:rPr>
          <w:rFonts w:cs="Arial"/>
        </w:rPr>
        <w:t xml:space="preserve">Es gelangen nur Angebote in die Prüfung und Wertung, die sämtliche Anforderungen nach diesen Vergabe- und Vertragsunterlagen erfüllen. Grundsätzlich werden die Angebote unter folgenden Gesichtspunkten geprüft und gewertet: </w:t>
      </w:r>
    </w:p>
    <w:p>
      <w:pPr>
        <w:pStyle w:val="Listenabsatz"/>
        <w:numPr>
          <w:ilvl w:val="0"/>
          <w:numId w:val="14"/>
        </w:numPr>
        <w:spacing w:line="360" w:lineRule="auto"/>
        <w:jc w:val="both"/>
        <w:rPr>
          <w:rFonts w:cs="Arial"/>
          <w:u w:val="single"/>
        </w:rPr>
      </w:pPr>
      <w:r>
        <w:rPr>
          <w:rFonts w:cs="Arial"/>
          <w:u w:val="single"/>
        </w:rPr>
        <w:t>Formale Prüfung</w:t>
      </w:r>
    </w:p>
    <w:p>
      <w:pPr>
        <w:pStyle w:val="Listenabsatz"/>
        <w:spacing w:after="240" w:line="360" w:lineRule="auto"/>
        <w:jc w:val="both"/>
        <w:rPr>
          <w:rFonts w:cs="Arial"/>
        </w:rPr>
      </w:pPr>
      <w:r>
        <w:rPr>
          <w:rFonts w:cs="Arial"/>
        </w:rPr>
        <w:t>Gemäß § 56 Abs. 1 und § 57 VgV.</w:t>
      </w:r>
    </w:p>
    <w:p>
      <w:pPr>
        <w:pStyle w:val="Listenabsatz"/>
        <w:spacing w:after="240" w:line="360" w:lineRule="auto"/>
        <w:jc w:val="both"/>
        <w:rPr>
          <w:rFonts w:cs="Arial"/>
        </w:rPr>
      </w:pPr>
    </w:p>
    <w:p>
      <w:pPr>
        <w:pStyle w:val="Listenabsatz"/>
        <w:numPr>
          <w:ilvl w:val="0"/>
          <w:numId w:val="14"/>
        </w:numPr>
        <w:spacing w:line="360" w:lineRule="auto"/>
        <w:jc w:val="both"/>
        <w:rPr>
          <w:rFonts w:cs="Arial"/>
          <w:u w:val="single"/>
        </w:rPr>
      </w:pPr>
      <w:r>
        <w:rPr>
          <w:rFonts w:cs="Arial"/>
          <w:u w:val="single"/>
        </w:rPr>
        <w:t>Eignungsprüfung</w:t>
      </w:r>
    </w:p>
    <w:p>
      <w:pPr>
        <w:pStyle w:val="Listenabsatz"/>
        <w:rPr>
          <w:rFonts w:cs="Arial"/>
        </w:rPr>
      </w:pPr>
      <w:r>
        <w:rPr>
          <w:rFonts w:cs="Arial"/>
        </w:rPr>
        <w:t>Gemäß § 42 ff VgV.</w:t>
      </w:r>
    </w:p>
    <w:p>
      <w:pPr>
        <w:pStyle w:val="Listenabsatz"/>
        <w:spacing w:line="360" w:lineRule="auto"/>
        <w:jc w:val="both"/>
        <w:rPr>
          <w:rFonts w:cs="Arial"/>
        </w:rPr>
      </w:pPr>
    </w:p>
    <w:p>
      <w:pPr>
        <w:pStyle w:val="Listenabsatz"/>
        <w:numPr>
          <w:ilvl w:val="0"/>
          <w:numId w:val="14"/>
        </w:numPr>
        <w:spacing w:line="360" w:lineRule="auto"/>
        <w:jc w:val="both"/>
        <w:rPr>
          <w:rFonts w:cs="Arial"/>
          <w:u w:val="single"/>
        </w:rPr>
      </w:pPr>
      <w:r>
        <w:rPr>
          <w:rFonts w:cs="Arial"/>
          <w:u w:val="single"/>
        </w:rPr>
        <w:t xml:space="preserve">Prüfung der Angemessenheit des Preises </w:t>
      </w:r>
    </w:p>
    <w:p>
      <w:pPr>
        <w:pStyle w:val="Listenabsatz"/>
        <w:spacing w:line="360" w:lineRule="auto"/>
        <w:jc w:val="both"/>
        <w:rPr>
          <w:rFonts w:cs="Arial"/>
        </w:rPr>
      </w:pPr>
      <w:r>
        <w:rPr>
          <w:rFonts w:cs="Arial"/>
        </w:rPr>
        <w:t>Gemäß § 60 VgV.</w:t>
      </w:r>
    </w:p>
    <w:p>
      <w:pPr>
        <w:pStyle w:val="Listenabsatz"/>
        <w:spacing w:line="360" w:lineRule="auto"/>
        <w:jc w:val="both"/>
        <w:rPr>
          <w:rFonts w:cs="Arial"/>
        </w:rPr>
      </w:pPr>
    </w:p>
    <w:p>
      <w:pPr>
        <w:pStyle w:val="Listenabsatz"/>
        <w:numPr>
          <w:ilvl w:val="0"/>
          <w:numId w:val="14"/>
        </w:numPr>
        <w:spacing w:after="240" w:line="360" w:lineRule="auto"/>
        <w:ind w:left="709" w:hanging="349"/>
        <w:jc w:val="both"/>
        <w:rPr>
          <w:rFonts w:cs="Arial"/>
          <w:u w:val="single"/>
        </w:rPr>
      </w:pPr>
      <w:r>
        <w:rPr>
          <w:rFonts w:cs="Arial"/>
          <w:u w:val="single"/>
        </w:rPr>
        <w:t>Ermittlung des wirtschaftlichsten Angebotes</w:t>
      </w:r>
    </w:p>
    <w:p>
      <w:pPr>
        <w:pStyle w:val="Listenabsatz"/>
        <w:rPr>
          <w:rFonts w:cs="Arial"/>
        </w:rPr>
      </w:pPr>
      <w:r>
        <w:rPr>
          <w:rFonts w:cs="Arial"/>
        </w:rPr>
        <w:t>Gemäß § 58 VgV.</w:t>
      </w:r>
    </w:p>
    <w:p>
      <w:pPr>
        <w:pStyle w:val="Listenabsatz"/>
        <w:rPr>
          <w:rFonts w:cs="Arial"/>
          <w:highlight w:val="yellow"/>
        </w:rPr>
      </w:pPr>
    </w:p>
    <w:p>
      <w:pPr>
        <w:spacing w:after="240" w:line="360" w:lineRule="auto"/>
        <w:jc w:val="both"/>
        <w:rPr>
          <w:rFonts w:cs="Arial"/>
        </w:rPr>
      </w:pPr>
      <w:bookmarkStart w:id="79" w:name="_Toc499725716"/>
      <w:r>
        <w:rPr>
          <w:rFonts w:cs="Arial"/>
        </w:rPr>
        <w:t xml:space="preserve">Der Zuschlag wird auf das wirtschaftlichste Angebot unter Berücksichtigung des günstigsten Preises erteilt. Die Ermittlung des wirtschaftlichsten Angebotes erfolgt in Anlehnung an die reine Preiswertung gemäß Nr. F 4.2.2 UfAB 2018 (abrufbar unter </w:t>
      </w:r>
      <w:hyperlink r:id="rId17" w:history="1">
        <w:r>
          <w:rPr>
            <w:rStyle w:val="Hyperlink"/>
            <w:color w:val="1D1B11" w:themeColor="background2" w:themeShade="1A"/>
          </w:rPr>
          <w:t>https://www.digitale-verwaltung.de/SharedDocs/downloads/Webs/DV/DE/digitale-loesungen/it-einkauf/ufab/ufab2018.html</w:t>
        </w:r>
      </w:hyperlink>
      <w:r>
        <w:t>)</w:t>
      </w:r>
      <w:r>
        <w:rPr>
          <w:rFonts w:cs="Arial"/>
        </w:rPr>
        <w:t>.</w:t>
      </w:r>
    </w:p>
    <w:p>
      <w:pPr>
        <w:pStyle w:val="berschrift1"/>
        <w:spacing w:after="120"/>
        <w:rPr>
          <w:rFonts w:cs="Arial"/>
        </w:rPr>
      </w:pPr>
      <w:bookmarkStart w:id="80" w:name="_Toc238039284"/>
      <w:r>
        <w:rPr>
          <w:rFonts w:cs="Arial"/>
        </w:rPr>
        <w:lastRenderedPageBreak/>
        <w:t>Vertragliche Grundlagen</w:t>
      </w:r>
      <w:bookmarkEnd w:id="79"/>
      <w:bookmarkEnd w:id="80"/>
    </w:p>
    <w:p>
      <w:pPr>
        <w:pStyle w:val="berschrift2"/>
        <w:rPr>
          <w:rFonts w:cs="Arial"/>
        </w:rPr>
      </w:pPr>
      <w:bookmarkStart w:id="81" w:name="_Toc499725717"/>
      <w:bookmarkStart w:id="82" w:name="_Toc11756890"/>
      <w:bookmarkStart w:id="83" w:name="_Toc238039285"/>
      <w:r>
        <w:rPr>
          <w:rFonts w:cs="Arial"/>
        </w:rPr>
        <w:t>Vertragsgegenstand</w:t>
      </w:r>
      <w:bookmarkEnd w:id="81"/>
      <w:bookmarkEnd w:id="82"/>
      <w:bookmarkEnd w:id="83"/>
    </w:p>
    <w:p>
      <w:pPr>
        <w:spacing w:line="360" w:lineRule="auto"/>
        <w:jc w:val="both"/>
        <w:rPr>
          <w:rFonts w:cs="Arial"/>
        </w:rPr>
      </w:pPr>
      <w:r>
        <w:rPr>
          <w:rFonts w:cs="Arial"/>
        </w:rPr>
        <w:t xml:space="preserve">Mit der Zuschlagserteilung kommt der Vertrag mit dem Bieter nach benannten Regelungen zustande (§ 58 VgV). </w:t>
      </w:r>
    </w:p>
    <w:p>
      <w:pPr>
        <w:pStyle w:val="berschrift2"/>
        <w:tabs>
          <w:tab w:val="left" w:pos="1843"/>
        </w:tabs>
        <w:rPr>
          <w:rFonts w:cs="Arial"/>
        </w:rPr>
      </w:pPr>
      <w:bookmarkStart w:id="84" w:name="_Toc29371782"/>
      <w:bookmarkStart w:id="85" w:name="_Toc54257544"/>
      <w:bookmarkStart w:id="86" w:name="_Toc238039286"/>
      <w:r>
        <w:rPr>
          <w:rFonts w:cs="Arial"/>
        </w:rPr>
        <w:t>Vertragspartner</w:t>
      </w:r>
      <w:bookmarkEnd w:id="84"/>
      <w:bookmarkEnd w:id="85"/>
      <w:r>
        <w:rPr>
          <w:rFonts w:cs="Arial"/>
        </w:rPr>
        <w:t>in</w:t>
      </w:r>
      <w:bookmarkEnd w:id="86"/>
    </w:p>
    <w:p>
      <w:pPr>
        <w:pStyle w:val="BasisabsatzCharChar"/>
        <w:spacing w:after="0"/>
        <w:ind w:left="0"/>
      </w:pPr>
      <w:r>
        <w:t xml:space="preserve">Vertragspartnerin ist die </w:t>
      </w:r>
    </w:p>
    <w:p>
      <w:pPr>
        <w:pStyle w:val="BasisabsatzCharChar"/>
        <w:spacing w:after="0"/>
        <w:ind w:left="2552"/>
      </w:pPr>
      <w:r>
        <w:t>Stadtverwaltung Ludwigshafen am Rhein</w:t>
      </w:r>
    </w:p>
    <w:p>
      <w:pPr>
        <w:pStyle w:val="BasisabsatzCharChar"/>
        <w:spacing w:after="0"/>
        <w:ind w:left="2552"/>
      </w:pPr>
      <w:r>
        <w:t>- vertreten durch den Oberbürgermeister -</w:t>
      </w:r>
    </w:p>
    <w:p>
      <w:pPr>
        <w:pStyle w:val="BasisabsatzCharChar"/>
        <w:spacing w:after="0"/>
        <w:ind w:left="2552"/>
      </w:pPr>
      <w:r>
        <w:t>Postfach 21 12 25</w:t>
      </w:r>
    </w:p>
    <w:p>
      <w:pPr>
        <w:pStyle w:val="BasisabsatzCharChar"/>
        <w:spacing w:after="0"/>
        <w:ind w:left="2552"/>
      </w:pPr>
      <w:r>
        <w:t>67012 Ludwigshafen am Rhein</w:t>
      </w:r>
    </w:p>
    <w:p>
      <w:pPr>
        <w:pStyle w:val="berschrift2"/>
        <w:tabs>
          <w:tab w:val="left" w:pos="1843"/>
        </w:tabs>
      </w:pPr>
      <w:bookmarkStart w:id="87" w:name="_Toc54257546"/>
      <w:bookmarkStart w:id="88" w:name="_Toc108096334"/>
      <w:bookmarkStart w:id="89" w:name="_Toc238039287"/>
      <w:r>
        <w:t>Bezugsberechtigte Stelle</w:t>
      </w:r>
      <w:bookmarkEnd w:id="87"/>
      <w:bookmarkEnd w:id="88"/>
      <w:bookmarkEnd w:id="89"/>
    </w:p>
    <w:p>
      <w:pPr>
        <w:spacing w:after="240" w:line="360" w:lineRule="auto"/>
        <w:jc w:val="both"/>
      </w:pPr>
      <w:r>
        <w:t>Bezugsberechtigte Stelle ist die Organisationseinheit 1-102 Kommunikation.</w:t>
      </w:r>
    </w:p>
    <w:p>
      <w:pPr>
        <w:pStyle w:val="berschrift2"/>
      </w:pPr>
      <w:bookmarkStart w:id="90" w:name="_Toc108096335"/>
      <w:bookmarkStart w:id="91" w:name="_Toc238039288"/>
      <w:r>
        <w:t>Vertragsbestandteile und -regelungen</w:t>
      </w:r>
      <w:bookmarkEnd w:id="90"/>
      <w:bookmarkEnd w:id="91"/>
    </w:p>
    <w:p>
      <w:pPr>
        <w:pStyle w:val="BasisabsatzCharChar"/>
        <w:ind w:left="0"/>
        <w:rPr>
          <w:rFonts w:cs="Arial"/>
        </w:rPr>
      </w:pPr>
      <w:r>
        <w:rPr>
          <w:rFonts w:cs="Arial"/>
        </w:rPr>
        <w:t>Werden im Zusammenhang mit der Beauftragung keine abweichenden schriftlichen Vereinbarungen getroffen, werden im Fall eines Zuschlags Bestandteile des Vertrages:</w:t>
      </w:r>
    </w:p>
    <w:p>
      <w:pPr>
        <w:pStyle w:val="Listenabsatz"/>
        <w:numPr>
          <w:ilvl w:val="0"/>
          <w:numId w:val="15"/>
        </w:numPr>
        <w:autoSpaceDE w:val="0"/>
        <w:autoSpaceDN w:val="0"/>
        <w:adjustRightInd w:val="0"/>
        <w:spacing w:line="360" w:lineRule="auto"/>
        <w:ind w:left="709" w:hanging="283"/>
        <w:jc w:val="both"/>
        <w:rPr>
          <w:rFonts w:cs="Arial"/>
          <w:color w:val="000000"/>
          <w:szCs w:val="22"/>
        </w:rPr>
      </w:pPr>
      <w:r>
        <w:rPr>
          <w:rFonts w:cs="Arial"/>
          <w:color w:val="000000"/>
          <w:szCs w:val="22"/>
        </w:rPr>
        <w:t>die Vergabe- und Vertragsunterlagen mit sämtlichen Anlagen inkl. Bieterrundschreiben,</w:t>
      </w:r>
    </w:p>
    <w:p>
      <w:pPr>
        <w:pStyle w:val="Listenabsatz"/>
        <w:numPr>
          <w:ilvl w:val="0"/>
          <w:numId w:val="15"/>
        </w:numPr>
        <w:autoSpaceDE w:val="0"/>
        <w:autoSpaceDN w:val="0"/>
        <w:adjustRightInd w:val="0"/>
        <w:spacing w:line="360" w:lineRule="auto"/>
        <w:ind w:left="709" w:hanging="283"/>
        <w:jc w:val="both"/>
        <w:rPr>
          <w:rFonts w:cs="Arial"/>
          <w:color w:val="000000"/>
          <w:szCs w:val="22"/>
        </w:rPr>
      </w:pPr>
      <w:r>
        <w:rPr>
          <w:rFonts w:cs="Arial"/>
          <w:color w:val="000000"/>
          <w:szCs w:val="22"/>
        </w:rPr>
        <w:t xml:space="preserve">die für die Leistungserbringung maßgeblichen ergänzenden Vertragsbedingungen für die zeitlich befristete Überlassung von Standardsoftware – EVB-IT Überlassung Typ B-AGB und die ergänzenden Vertragsbedingungen für die Pflege von Standardsoftware – EVB-IT Pflege S-AGB, </w:t>
      </w:r>
      <w:r>
        <w:rPr>
          <w:rFonts w:cs="Arial"/>
          <w:szCs w:val="24"/>
        </w:rPr>
        <w:t>jeweils in aktueller Fassung,</w:t>
      </w:r>
    </w:p>
    <w:p>
      <w:pPr>
        <w:pStyle w:val="Listenabsatz"/>
        <w:numPr>
          <w:ilvl w:val="0"/>
          <w:numId w:val="15"/>
        </w:numPr>
        <w:autoSpaceDE w:val="0"/>
        <w:autoSpaceDN w:val="0"/>
        <w:adjustRightInd w:val="0"/>
        <w:spacing w:line="360" w:lineRule="auto"/>
        <w:ind w:left="709" w:hanging="283"/>
        <w:jc w:val="both"/>
        <w:rPr>
          <w:rFonts w:cs="Arial"/>
          <w:color w:val="000000" w:themeColor="text1"/>
          <w:szCs w:val="22"/>
        </w:rPr>
      </w:pPr>
      <w:r>
        <w:rPr>
          <w:rFonts w:cs="Arial"/>
          <w:color w:val="000000" w:themeColor="text1"/>
          <w:szCs w:val="22"/>
        </w:rPr>
        <w:t>besondere Vertragsbedingungen,</w:t>
      </w:r>
    </w:p>
    <w:p>
      <w:pPr>
        <w:pStyle w:val="Listenabsatz"/>
        <w:numPr>
          <w:ilvl w:val="0"/>
          <w:numId w:val="15"/>
        </w:numPr>
        <w:autoSpaceDE w:val="0"/>
        <w:autoSpaceDN w:val="0"/>
        <w:adjustRightInd w:val="0"/>
        <w:spacing w:line="360" w:lineRule="auto"/>
        <w:ind w:left="709" w:hanging="283"/>
        <w:jc w:val="both"/>
        <w:rPr>
          <w:rFonts w:cs="Arial"/>
          <w:color w:val="000000" w:themeColor="text1"/>
          <w:szCs w:val="22"/>
        </w:rPr>
      </w:pPr>
      <w:r>
        <w:rPr>
          <w:rFonts w:cs="Arial"/>
          <w:color w:val="000000" w:themeColor="text1"/>
          <w:szCs w:val="22"/>
        </w:rPr>
        <w:t>etwaige ergänzende Vertragsbedingungen,</w:t>
      </w:r>
    </w:p>
    <w:p>
      <w:pPr>
        <w:pStyle w:val="Listenabsatz"/>
        <w:numPr>
          <w:ilvl w:val="0"/>
          <w:numId w:val="15"/>
        </w:numPr>
        <w:autoSpaceDE w:val="0"/>
        <w:autoSpaceDN w:val="0"/>
        <w:adjustRightInd w:val="0"/>
        <w:spacing w:line="360" w:lineRule="auto"/>
        <w:ind w:left="709" w:hanging="283"/>
        <w:jc w:val="both"/>
        <w:rPr>
          <w:rFonts w:cs="Arial"/>
          <w:color w:val="000000" w:themeColor="text1"/>
          <w:szCs w:val="22"/>
        </w:rPr>
      </w:pPr>
      <w:r>
        <w:rPr>
          <w:rFonts w:cs="Arial"/>
          <w:color w:val="000000" w:themeColor="text1"/>
          <w:szCs w:val="22"/>
        </w:rPr>
        <w:t>etwaige zusätzliche Vertragsbedingungen,</w:t>
      </w:r>
    </w:p>
    <w:p>
      <w:pPr>
        <w:pStyle w:val="Listenabsatz"/>
        <w:numPr>
          <w:ilvl w:val="0"/>
          <w:numId w:val="15"/>
        </w:numPr>
        <w:autoSpaceDE w:val="0"/>
        <w:autoSpaceDN w:val="0"/>
        <w:adjustRightInd w:val="0"/>
        <w:spacing w:line="360" w:lineRule="auto"/>
        <w:ind w:left="709" w:hanging="283"/>
        <w:jc w:val="both"/>
        <w:rPr>
          <w:rFonts w:cs="Arial"/>
          <w:color w:val="000000" w:themeColor="text1"/>
          <w:szCs w:val="22"/>
        </w:rPr>
      </w:pPr>
      <w:r>
        <w:rPr>
          <w:rFonts w:cs="Arial"/>
          <w:color w:val="000000" w:themeColor="text1"/>
          <w:szCs w:val="22"/>
        </w:rPr>
        <w:t>etwaige allgemeine technische Vertragsbedingungen,</w:t>
      </w:r>
    </w:p>
    <w:p>
      <w:pPr>
        <w:pStyle w:val="Listenabsatz"/>
        <w:numPr>
          <w:ilvl w:val="0"/>
          <w:numId w:val="15"/>
        </w:numPr>
        <w:autoSpaceDE w:val="0"/>
        <w:autoSpaceDN w:val="0"/>
        <w:adjustRightInd w:val="0"/>
        <w:spacing w:line="360" w:lineRule="auto"/>
        <w:ind w:left="709" w:hanging="283"/>
        <w:jc w:val="both"/>
        <w:rPr>
          <w:rFonts w:cs="Arial"/>
          <w:color w:val="000000" w:themeColor="text1"/>
          <w:szCs w:val="22"/>
        </w:rPr>
      </w:pPr>
      <w:r>
        <w:rPr>
          <w:rFonts w:cs="Arial"/>
          <w:color w:val="000000" w:themeColor="text1"/>
          <w:szCs w:val="22"/>
        </w:rPr>
        <w:t>das Angebot des/der Auftragnehmer*in,</w:t>
      </w:r>
    </w:p>
    <w:p>
      <w:pPr>
        <w:pStyle w:val="Listenabsatz"/>
        <w:numPr>
          <w:ilvl w:val="0"/>
          <w:numId w:val="15"/>
        </w:numPr>
        <w:autoSpaceDE w:val="0"/>
        <w:autoSpaceDN w:val="0"/>
        <w:adjustRightInd w:val="0"/>
        <w:spacing w:line="360" w:lineRule="auto"/>
        <w:ind w:left="709" w:hanging="283"/>
        <w:jc w:val="both"/>
        <w:rPr>
          <w:rFonts w:cs="Arial"/>
          <w:color w:val="000000" w:themeColor="text1"/>
          <w:szCs w:val="22"/>
        </w:rPr>
      </w:pPr>
      <w:r>
        <w:rPr>
          <w:rFonts w:cs="Arial"/>
          <w:color w:val="000000" w:themeColor="text1"/>
          <w:szCs w:val="22"/>
        </w:rPr>
        <w:t>die allgemeinen vergaberechtlichen Vertragsbedingungen (VOL/B) in der bei Veröffentlichung der Vergabe- und Vertragsunterlagen geltenden Fassung,</w:t>
      </w:r>
    </w:p>
    <w:p>
      <w:pPr>
        <w:pStyle w:val="Listenabsatz"/>
        <w:numPr>
          <w:ilvl w:val="0"/>
          <w:numId w:val="15"/>
        </w:numPr>
        <w:autoSpaceDE w:val="0"/>
        <w:autoSpaceDN w:val="0"/>
        <w:adjustRightInd w:val="0"/>
        <w:spacing w:after="240" w:line="360" w:lineRule="auto"/>
        <w:ind w:left="709" w:hanging="283"/>
        <w:jc w:val="both"/>
        <w:rPr>
          <w:rFonts w:cs="Arial"/>
          <w:color w:val="000000" w:themeColor="text1"/>
          <w:szCs w:val="22"/>
        </w:rPr>
      </w:pPr>
      <w:r>
        <w:rPr>
          <w:rFonts w:cs="Arial"/>
          <w:color w:val="000000" w:themeColor="text1"/>
          <w:szCs w:val="22"/>
        </w:rPr>
        <w:lastRenderedPageBreak/>
        <w:t>die allgemeinen gesetzlichen Regelungen.</w:t>
      </w:r>
    </w:p>
    <w:p>
      <w:pPr>
        <w:spacing w:after="120" w:line="360" w:lineRule="auto"/>
        <w:jc w:val="both"/>
        <w:rPr>
          <w:rFonts w:cs="Arial"/>
        </w:rPr>
      </w:pPr>
      <w:r>
        <w:rPr>
          <w:rFonts w:cs="Arial"/>
        </w:rPr>
        <w:t xml:space="preserve">Es gilt das Recht der Bundesrepublik Deutschland, sofern EU-Gemeinschaftsrecht zur Anwendung kommt, auch dieses. </w:t>
      </w:r>
    </w:p>
    <w:p>
      <w:pPr>
        <w:spacing w:before="120" w:after="120"/>
        <w:jc w:val="both"/>
      </w:pPr>
      <w:r>
        <w:t>Gerichtsstand ist Ludwigshafen am Rhein.</w:t>
      </w:r>
    </w:p>
    <w:p>
      <w:pPr>
        <w:spacing w:after="120" w:line="360" w:lineRule="auto"/>
        <w:jc w:val="both"/>
        <w:rPr>
          <w:rFonts w:cs="Arial"/>
        </w:rPr>
      </w:pPr>
      <w:r>
        <w:rPr>
          <w:rFonts w:cs="Arial"/>
        </w:rPr>
        <w:t>Bei Widersprüchen gelten die Vertragsbestandteile in oben genannter Reihenfolge.</w:t>
      </w:r>
    </w:p>
    <w:p>
      <w:pPr>
        <w:spacing w:after="120" w:line="360" w:lineRule="auto"/>
        <w:jc w:val="both"/>
        <w:rPr>
          <w:rFonts w:cs="Arial"/>
        </w:rPr>
      </w:pPr>
      <w:r>
        <w:rPr>
          <w:rFonts w:cs="Arial"/>
        </w:rPr>
        <w:t xml:space="preserve">Die für die Leistungserbringung maßgeblichen EVB-IT Ergänzenden Vertragsbedingungen (AGB) stehen unter </w:t>
      </w:r>
      <w:hyperlink r:id="rId18" w:history="1">
        <w:r>
          <w:rPr>
            <w:rStyle w:val="Hyperlink"/>
          </w:rPr>
          <w:t>Digitale Verwaltung - EVB-IT und BVB</w:t>
        </w:r>
      </w:hyperlink>
      <w:r>
        <w:rPr>
          <w:rFonts w:cs="Arial"/>
        </w:rPr>
        <w:t xml:space="preserve"> und die VOL/B unter </w:t>
      </w:r>
      <w:hyperlink r:id="rId19" w:history="1">
        <w:r>
          <w:rPr>
            <w:rStyle w:val="Hyperlink"/>
          </w:rPr>
          <w:t>Regeln und Vorschriften für die öffentliche Vergabe: das Vergaberecht | BMWE</w:t>
        </w:r>
      </w:hyperlink>
      <w:r>
        <w:rPr>
          <w:rFonts w:cs="Arial"/>
        </w:rPr>
        <w:t xml:space="preserve"> zur Einsichtnahme bereit.</w:t>
      </w:r>
    </w:p>
    <w:p>
      <w:pPr>
        <w:pStyle w:val="BasisabsatzCharChar"/>
        <w:ind w:left="0"/>
      </w:pPr>
      <w:r>
        <w:t xml:space="preserve">Die Allgemeinen </w:t>
      </w:r>
      <w:r>
        <w:rPr>
          <w:rFonts w:cs="Arial"/>
        </w:rPr>
        <w:t xml:space="preserve">Geschäfts-, Liefer- und Zahlungsbedingungen (AGB) </w:t>
      </w:r>
      <w:r>
        <w:t>des Bieters sind ausdrücklich ausgeschlossen und werden nicht zum Vertragsbestandteil. Mit der Abgabe des Angebots durch den Bieter, werden vom Bieter oder von Dritten einbezogene AGB unwirksam und finden keine Anwendung.</w:t>
      </w:r>
    </w:p>
    <w:p>
      <w:pPr>
        <w:pStyle w:val="berschrift2"/>
      </w:pPr>
      <w:bookmarkStart w:id="92" w:name="_Toc108096336"/>
      <w:bookmarkStart w:id="93" w:name="_Toc238039289"/>
      <w:r>
        <w:t>Vertragslaufzeit</w:t>
      </w:r>
      <w:bookmarkEnd w:id="92"/>
      <w:bookmarkEnd w:id="93"/>
    </w:p>
    <w:p>
      <w:pPr>
        <w:autoSpaceDE w:val="0"/>
        <w:autoSpaceDN w:val="0"/>
        <w:adjustRightInd w:val="0"/>
        <w:spacing w:after="240" w:line="360" w:lineRule="auto"/>
        <w:jc w:val="both"/>
        <w:rPr>
          <w:rFonts w:cs="Arial"/>
          <w:color w:val="000000"/>
          <w:szCs w:val="22"/>
          <w:lang w:eastAsia="de-DE"/>
        </w:rPr>
      </w:pPr>
      <w:bookmarkStart w:id="94" w:name="_Toc494980046"/>
      <w:bookmarkStart w:id="95" w:name="_Toc499725723"/>
      <w:bookmarkStart w:id="96" w:name="_Toc11756895"/>
      <w:r>
        <w:rPr>
          <w:rFonts w:cs="Arial"/>
          <w:color w:val="000000"/>
          <w:szCs w:val="22"/>
          <w:lang w:eastAsia="de-DE"/>
        </w:rPr>
        <w:t>Der Vertrag beginnt am 01.01.2027 und endet am 31.12.2027, ohne dass es einer Kündigung bedarf und hat somit eine Laufzeit von 12 Monaten.</w:t>
      </w:r>
    </w:p>
    <w:p>
      <w:pPr>
        <w:autoSpaceDE w:val="0"/>
        <w:autoSpaceDN w:val="0"/>
        <w:adjustRightInd w:val="0"/>
        <w:spacing w:line="360" w:lineRule="auto"/>
        <w:jc w:val="both"/>
        <w:rPr>
          <w:rFonts w:cs="Arial"/>
          <w:color w:val="000000"/>
          <w:szCs w:val="22"/>
          <w:lang w:eastAsia="de-DE"/>
        </w:rPr>
      </w:pPr>
      <w:r>
        <w:rPr>
          <w:rFonts w:cs="Arial"/>
          <w:color w:val="000000"/>
          <w:szCs w:val="22"/>
          <w:lang w:eastAsia="de-DE"/>
        </w:rPr>
        <w:t>Bei einer eventuellen Änderung der Anzahl der Lizenzen besteht die Möglichkeit einer Vertragsanpassung bzgl. der Anzahl der Lizenzen. Ändert sich die Anzahl der Lizenzen (Erhöhung oder Senkung), wird diese Änderung möglichst in den bestehenden Software Support Vertrag übernommen. In diesem Fall erstellt der/die Auftragnehmer*in der Auftraggeberin auf deren Anfrage ein Angebot über einen eventuellen Lizenznachkauf und/oder einer Anpassung des Support Preises. Die Auftraggeberin entscheidet danach, ob sie dieses Angebot annehmen möchte und den Vertrag unter den neuen Konditionen annimmt.</w:t>
      </w:r>
    </w:p>
    <w:p>
      <w:pPr>
        <w:pStyle w:val="berschrift2"/>
        <w:tabs>
          <w:tab w:val="left" w:pos="1843"/>
        </w:tabs>
        <w:rPr>
          <w:rFonts w:cs="Arial"/>
        </w:rPr>
      </w:pPr>
      <w:bookmarkStart w:id="97" w:name="_Toc238039290"/>
      <w:r>
        <w:rPr>
          <w:rFonts w:cs="Arial"/>
        </w:rPr>
        <w:t>Vertragsänderungen</w:t>
      </w:r>
      <w:bookmarkEnd w:id="94"/>
      <w:bookmarkEnd w:id="95"/>
      <w:bookmarkEnd w:id="96"/>
      <w:bookmarkEnd w:id="97"/>
    </w:p>
    <w:p>
      <w:pPr>
        <w:pStyle w:val="BasisabsatzCharChar"/>
        <w:tabs>
          <w:tab w:val="left" w:pos="1843"/>
        </w:tabs>
        <w:spacing w:after="0"/>
        <w:ind w:left="0"/>
        <w:rPr>
          <w:rFonts w:cs="Arial"/>
        </w:rPr>
      </w:pPr>
      <w:r>
        <w:rPr>
          <w:rFonts w:cs="Arial"/>
        </w:rPr>
        <w:t>Während der Vertragslaufzeit sind, ohne dass es einer Ausschreibung bedürfte, in entsprechender Anwendung des § 132 GWB unwesentliche Änderungen des Vertrages zulässig. Änderungen oder Ergänzungen sind nur wirksam, wenn Sie schriftlich vereinbart werden. Dies gilt auch für Änderungen dieser Schriftformklausel.</w:t>
      </w:r>
    </w:p>
    <w:p>
      <w:pPr>
        <w:pStyle w:val="berschrift2"/>
        <w:tabs>
          <w:tab w:val="left" w:pos="1843"/>
        </w:tabs>
      </w:pPr>
      <w:bookmarkStart w:id="98" w:name="_Toc494980047"/>
      <w:bookmarkStart w:id="99" w:name="_Toc83794306"/>
      <w:bookmarkStart w:id="100" w:name="_Toc108096338"/>
      <w:bookmarkStart w:id="101" w:name="_Toc238039291"/>
      <w:r>
        <w:lastRenderedPageBreak/>
        <w:t>Kündigung</w:t>
      </w:r>
      <w:bookmarkEnd w:id="98"/>
      <w:bookmarkEnd w:id="99"/>
      <w:bookmarkEnd w:id="100"/>
      <w:bookmarkEnd w:id="101"/>
    </w:p>
    <w:p>
      <w:pPr>
        <w:pStyle w:val="BasisabsatzCharChar"/>
        <w:ind w:left="0"/>
        <w:rPr>
          <w:rFonts w:cs="Arial"/>
          <w:szCs w:val="22"/>
        </w:rPr>
      </w:pPr>
      <w:r>
        <w:rPr>
          <w:rFonts w:cs="Arial"/>
          <w:szCs w:val="22"/>
        </w:rPr>
        <w:t xml:space="preserve">Die Auftraggeberin behält sich vor, den Vertrag aus wichtigem Grund zu kündigen. Wichtige Gründe im Sinne dieser Regelung liegen insbesondere vor, </w:t>
      </w:r>
    </w:p>
    <w:p>
      <w:pPr>
        <w:pStyle w:val="BasisabsatzCharChar"/>
        <w:numPr>
          <w:ilvl w:val="0"/>
          <w:numId w:val="17"/>
        </w:numPr>
        <w:ind w:left="709" w:hanging="283"/>
        <w:rPr>
          <w:rFonts w:cs="Arial"/>
          <w:szCs w:val="22"/>
        </w:rPr>
      </w:pPr>
      <w:r>
        <w:rPr>
          <w:rFonts w:cs="Arial"/>
          <w:szCs w:val="22"/>
        </w:rPr>
        <w:t>wenn nach Zuschlagserteilung nachweislich wettbewerbsbeschränkende Absprachen des Auftragsnehmers bekannt werden.</w:t>
      </w:r>
    </w:p>
    <w:p>
      <w:pPr>
        <w:pStyle w:val="BasisabsatzCharChar"/>
        <w:numPr>
          <w:ilvl w:val="0"/>
          <w:numId w:val="17"/>
        </w:numPr>
        <w:ind w:left="709" w:hanging="283"/>
        <w:rPr>
          <w:rFonts w:cs="Arial"/>
          <w:szCs w:val="22"/>
        </w:rPr>
      </w:pPr>
      <w:r>
        <w:rPr>
          <w:rFonts w:cs="Arial"/>
          <w:szCs w:val="22"/>
        </w:rPr>
        <w:t>wenn Datenschutz-, Datensicherheitsvorschriften vom/von der Auftragnehmer*in verletzt werden.</w:t>
      </w:r>
    </w:p>
    <w:p>
      <w:pPr>
        <w:pStyle w:val="BasisabsatzCharChar"/>
        <w:numPr>
          <w:ilvl w:val="0"/>
          <w:numId w:val="17"/>
        </w:numPr>
        <w:ind w:left="709" w:hanging="283"/>
        <w:rPr>
          <w:rFonts w:cs="Arial"/>
          <w:szCs w:val="22"/>
        </w:rPr>
      </w:pPr>
      <w:r>
        <w:rPr>
          <w:rFonts w:cs="Arial"/>
          <w:szCs w:val="22"/>
        </w:rPr>
        <w:t>wenn die Eigenerklärungen und Zusicherung zur Zuverlässigkeit des Bieters nicht eingehalten werden oder sonstige, die Zuverlässigkeit erheblich beeinträchtigende Umstände eintreten.</w:t>
      </w:r>
    </w:p>
    <w:p>
      <w:pPr>
        <w:pStyle w:val="berschrift2"/>
        <w:tabs>
          <w:tab w:val="left" w:pos="1843"/>
        </w:tabs>
      </w:pPr>
      <w:bookmarkStart w:id="102" w:name="_Toc54257550"/>
      <w:bookmarkStart w:id="103" w:name="_Toc238039292"/>
      <w:r>
        <w:t>Preise</w:t>
      </w:r>
      <w:bookmarkEnd w:id="102"/>
      <w:bookmarkEnd w:id="103"/>
    </w:p>
    <w:p>
      <w:pPr>
        <w:spacing w:after="240" w:line="360" w:lineRule="auto"/>
        <w:jc w:val="both"/>
      </w:pPr>
      <w:bookmarkStart w:id="104" w:name="_Toc479856041"/>
      <w:r>
        <w:t xml:space="preserve">Alle Preise sind einheitlich in EURO ohne gesetzliche Umsatzsteuer anzugeben. Preisangaben als Bruttobeträge sind, wenn gewünscht einzutragen. </w:t>
      </w:r>
    </w:p>
    <w:p>
      <w:pPr>
        <w:pStyle w:val="BasisabsatzCharChar"/>
        <w:spacing w:after="60"/>
        <w:ind w:left="0"/>
      </w:pPr>
      <w:r>
        <w:t xml:space="preserve">Das Angebot muss alle relevanten und die im Preisblatt geforderten Preisangaben enthalten. Sofern nicht anders gefordert, werden Nebenkosten </w:t>
      </w:r>
      <w:r>
        <w:rPr>
          <w:rFonts w:cs="Arial"/>
          <w:color w:val="000000"/>
        </w:rPr>
        <w:t>wie evtl. Verpackung, Transport, Versicherung, Zoll, Lieferung etc.</w:t>
      </w:r>
      <w:r>
        <w:t xml:space="preserve">, Reisezeiten, Reisekosten, Spesen u.a. Kosten nicht gesondert vergütet und sind dementsprechend in die Preisangaben einzukalkulieren. </w:t>
      </w:r>
      <w:r>
        <w:rPr>
          <w:rFonts w:cs="Arial"/>
          <w:color w:val="000000"/>
        </w:rPr>
        <w:t xml:space="preserve">Eventuelle Lieferungen erfolgen gemäß Incoterms 2020 DDP. Die Anlieferung erfolgt „frei Verwendungsstelle“, der Gefahrenübergang findet erst mit der Übergabe am Bestimmungsort der Verwendung statt. </w:t>
      </w:r>
      <w:r>
        <w:t>Die Vergütung erfolgt gemäß den Eintragungen im Preisblatt.</w:t>
      </w:r>
    </w:p>
    <w:p>
      <w:pPr>
        <w:spacing w:before="240" w:after="240" w:line="360" w:lineRule="auto"/>
        <w:jc w:val="both"/>
      </w:pPr>
      <w:r>
        <w:t>Alle Preise verstehen sich inklusive aller Liefer-/Dienstleistungen und aller für die Leistungserbringung notwendigen Materialien.</w:t>
      </w:r>
    </w:p>
    <w:p>
      <w:pPr>
        <w:spacing w:line="360" w:lineRule="auto"/>
        <w:jc w:val="both"/>
      </w:pPr>
      <w:r>
        <w:t xml:space="preserve">Die im Preisblatt dieser Vergabe- und Vertragsunterlagen angegebenen Preise gelten für die gesamte Auftragsabwicklung. Eine Preisanpassung ist nicht möglich. </w:t>
      </w:r>
    </w:p>
    <w:p>
      <w:pPr>
        <w:pStyle w:val="berschrift2"/>
      </w:pPr>
      <w:bookmarkStart w:id="105" w:name="_Toc83794309"/>
      <w:bookmarkStart w:id="106" w:name="_Toc108096340"/>
      <w:bookmarkStart w:id="107" w:name="_Toc238039293"/>
      <w:r>
        <w:t>Zahlungsbedingungen</w:t>
      </w:r>
      <w:bookmarkEnd w:id="105"/>
      <w:bookmarkEnd w:id="106"/>
      <w:bookmarkEnd w:id="107"/>
    </w:p>
    <w:p>
      <w:pPr>
        <w:autoSpaceDE w:val="0"/>
        <w:autoSpaceDN w:val="0"/>
        <w:adjustRightInd w:val="0"/>
        <w:spacing w:line="360" w:lineRule="auto"/>
        <w:jc w:val="both"/>
        <w:rPr>
          <w:rFonts w:cs="Arial"/>
          <w:color w:val="000000"/>
          <w:szCs w:val="22"/>
          <w:highlight w:val="yellow"/>
          <w:lang w:eastAsia="de-DE"/>
        </w:rPr>
      </w:pPr>
      <w:r>
        <w:rPr>
          <w:rFonts w:cs="Arial"/>
          <w:color w:val="000000"/>
          <w:szCs w:val="22"/>
          <w:lang w:eastAsia="de-DE"/>
        </w:rPr>
        <w:t>Die Leistungen des/der Auftragnehmer*in werden mit dem Zahlungsziel von 30 Tagen in Rechnung gestellt. Es wird kein Vergütungsvorbehalt vereinbart.</w:t>
      </w:r>
      <w:r>
        <w:rPr>
          <w:rFonts w:cs="Arial"/>
          <w:color w:val="000000"/>
          <w:szCs w:val="22"/>
          <w:highlight w:val="yellow"/>
          <w:lang w:eastAsia="de-DE"/>
        </w:rPr>
        <w:br w:type="page"/>
      </w:r>
    </w:p>
    <w:p>
      <w:pPr>
        <w:pStyle w:val="berschrift2"/>
        <w:rPr>
          <w:rFonts w:cs="Arial"/>
        </w:rPr>
      </w:pPr>
      <w:bookmarkStart w:id="108" w:name="_Toc467660797"/>
      <w:bookmarkStart w:id="109" w:name="_Toc494980051"/>
      <w:bookmarkStart w:id="110" w:name="_Toc499725728"/>
      <w:bookmarkStart w:id="111" w:name="_Toc11756897"/>
      <w:bookmarkStart w:id="112" w:name="_Toc238039294"/>
      <w:bookmarkStart w:id="113" w:name="OLE_LINK2"/>
      <w:bookmarkStart w:id="114" w:name="OLE_LINK3"/>
      <w:bookmarkEnd w:id="104"/>
      <w:r>
        <w:rPr>
          <w:rFonts w:cs="Arial"/>
        </w:rPr>
        <w:lastRenderedPageBreak/>
        <w:t>Rechnungsstellungen</w:t>
      </w:r>
      <w:bookmarkEnd w:id="108"/>
      <w:bookmarkEnd w:id="109"/>
      <w:bookmarkEnd w:id="110"/>
      <w:bookmarkEnd w:id="111"/>
      <w:bookmarkEnd w:id="112"/>
    </w:p>
    <w:p>
      <w:pPr>
        <w:autoSpaceDE w:val="0"/>
        <w:autoSpaceDN w:val="0"/>
        <w:adjustRightInd w:val="0"/>
        <w:spacing w:after="240" w:line="360" w:lineRule="auto"/>
        <w:jc w:val="both"/>
        <w:rPr>
          <w:szCs w:val="22"/>
        </w:rPr>
      </w:pPr>
      <w:r>
        <w:rPr>
          <w:rFonts w:cs="Arial"/>
          <w:color w:val="000000"/>
          <w:szCs w:val="22"/>
          <w:lang w:eastAsia="de-DE"/>
        </w:rPr>
        <w:t xml:space="preserve">Nach Lieferung bzw. Erbringung der Dienstleistung erfolgen durch den/die Auftragnehmer*in Rechnungsstellungen unter Angabe des auf dem Auftragsschreiben vermerkten Bestellkennzeichens (LUX-Nummer; Postkorb). </w:t>
      </w:r>
      <w:r>
        <w:rPr>
          <w:rFonts w:cs="Arial"/>
          <w:color w:val="000000"/>
        </w:rPr>
        <w:t xml:space="preserve">Bitte beachten Sie </w:t>
      </w:r>
      <w:r>
        <w:t>die beigelegten</w:t>
      </w:r>
      <w:r>
        <w:rPr>
          <w:rFonts w:cs="Arial"/>
          <w:color w:val="000000"/>
          <w:szCs w:val="24"/>
        </w:rPr>
        <w:t xml:space="preserve"> </w:t>
      </w:r>
      <w:r>
        <w:t>„</w:t>
      </w:r>
      <w:r>
        <w:rPr>
          <w:rFonts w:cs="Arial"/>
          <w:color w:val="000000"/>
          <w:szCs w:val="24"/>
        </w:rPr>
        <w:t>Informationen zum Einreichen elektronischer Rechnungen über den zentralen E-Rechnungseingang RLP</w:t>
      </w:r>
      <w:r>
        <w:t>“</w:t>
      </w:r>
      <w:r>
        <w:rPr>
          <w:rFonts w:cs="Arial"/>
          <w:color w:val="000000"/>
          <w:szCs w:val="24"/>
        </w:rPr>
        <w:t>.</w:t>
      </w:r>
    </w:p>
    <w:p>
      <w:pPr>
        <w:autoSpaceDE w:val="0"/>
        <w:autoSpaceDN w:val="0"/>
        <w:adjustRightInd w:val="0"/>
        <w:spacing w:before="240" w:line="360" w:lineRule="auto"/>
        <w:jc w:val="both"/>
        <w:rPr>
          <w:rFonts w:cs="Arial"/>
          <w:color w:val="000000"/>
          <w:szCs w:val="22"/>
          <w:lang w:eastAsia="de-DE"/>
        </w:rPr>
      </w:pPr>
      <w:r>
        <w:rPr>
          <w:rFonts w:cs="Arial"/>
          <w:color w:val="000000"/>
          <w:szCs w:val="22"/>
          <w:lang w:eastAsia="de-DE"/>
        </w:rPr>
        <w:t>Rechnungen ohne Angabe des Bestellkennzeichens können nicht bearbeitet werden. Sollte das Bestellkennzeichen fehlen und es daraufhin zu einer verspäteten Zahlung kommen, ist diese Verzögerung nicht von der Stadtverwaltung Ludwigshafen zu vertreten.</w:t>
      </w:r>
    </w:p>
    <w:p>
      <w:pPr>
        <w:pStyle w:val="berschrift2"/>
      </w:pPr>
      <w:bookmarkStart w:id="115" w:name="_Toc494980053"/>
      <w:bookmarkStart w:id="116" w:name="_Toc498934096"/>
      <w:bookmarkStart w:id="117" w:name="_Toc108096342"/>
      <w:bookmarkStart w:id="118" w:name="_Toc238039295"/>
      <w:r>
        <w:t>Datenschutz / IT-Sicherheit</w:t>
      </w:r>
      <w:bookmarkEnd w:id="115"/>
      <w:bookmarkEnd w:id="116"/>
      <w:bookmarkEnd w:id="117"/>
      <w:bookmarkEnd w:id="118"/>
    </w:p>
    <w:p>
      <w:pPr>
        <w:spacing w:after="240" w:line="360" w:lineRule="auto"/>
        <w:jc w:val="both"/>
      </w:pPr>
      <w:r>
        <w:t xml:space="preserve">Auf Anforderung durch die Stadtverwaltung Ludwigshafen muss eine Verpflichtungserklärung nach dem Verpflichtungsgesetz abgegeben werden. </w:t>
      </w:r>
    </w:p>
    <w:p>
      <w:pPr>
        <w:spacing w:after="240" w:line="360" w:lineRule="auto"/>
        <w:jc w:val="both"/>
        <w:rPr>
          <w:rFonts w:cs="Arial"/>
        </w:rPr>
      </w:pPr>
      <w:r>
        <w:t>Zusätzlich muss auf Anforderung der Stadtverwaltung eine unterschriebene Erklärung zur Einhaltung der Bestimmungen des Bundesdatenschutzgesetztes (BDSG) und des Landesdatenschutzgesetztes (LDSG) von Rheinland-Pfalz, der jeweiligen beteiligten Mitarbeiter*innen vor Ort abgegeben werden oder sonstige für den Datenschutz relevante Vereinbarungen.</w:t>
      </w:r>
    </w:p>
    <w:p>
      <w:pPr>
        <w:pStyle w:val="berschrift2"/>
      </w:pPr>
      <w:r>
        <w:rPr>
          <w:rFonts w:cs="Arial"/>
          <w:color w:val="000000"/>
          <w:szCs w:val="22"/>
          <w:lang w:eastAsia="de-DE"/>
        </w:rPr>
        <w:t xml:space="preserve"> </w:t>
      </w:r>
      <w:bookmarkStart w:id="119" w:name="_Toc148341891"/>
      <w:bookmarkStart w:id="120" w:name="_Toc238039296"/>
      <w:r>
        <w:t>Salvatorische Klausel</w:t>
      </w:r>
      <w:bookmarkEnd w:id="119"/>
      <w:bookmarkEnd w:id="120"/>
    </w:p>
    <w:p>
      <w:pPr>
        <w:pStyle w:val="BasisabsatzCharChar"/>
        <w:ind w:left="0"/>
      </w:pPr>
      <w:r>
        <w:t>Sofern eine der vorstehenden Regelungen unwirksam ist oder werden sollte, verpflichten sich die</w:t>
      </w:r>
    </w:p>
    <w:p>
      <w:pPr>
        <w:pStyle w:val="BasisabsatzCharChar"/>
        <w:ind w:left="0"/>
      </w:pPr>
      <w:r>
        <w:t>Parteien, eine rechtlich wirksame Regelung zu vereinbaren, die in rechtlich zulässiger Weise dem</w:t>
      </w:r>
    </w:p>
    <w:p>
      <w:pPr>
        <w:pStyle w:val="BasisabsatzCharChar"/>
        <w:ind w:left="0"/>
        <w:jc w:val="left"/>
      </w:pPr>
      <w:r>
        <w:t>wirtschaftlich Gewollten der unwirksamen Regelung möglichst nahekommt.</w:t>
      </w:r>
    </w:p>
    <w:p>
      <w:pPr>
        <w:autoSpaceDE w:val="0"/>
        <w:autoSpaceDN w:val="0"/>
        <w:adjustRightInd w:val="0"/>
        <w:spacing w:before="240" w:line="360" w:lineRule="auto"/>
        <w:jc w:val="both"/>
        <w:rPr>
          <w:rFonts w:cs="Arial"/>
          <w:color w:val="000000"/>
          <w:szCs w:val="22"/>
          <w:highlight w:val="yellow"/>
          <w:lang w:eastAsia="de-DE"/>
        </w:rPr>
      </w:pPr>
    </w:p>
    <w:p>
      <w:pPr>
        <w:pStyle w:val="berschrift1"/>
        <w:rPr>
          <w:rStyle w:val="berschrift1CharChar"/>
          <w:b/>
        </w:rPr>
      </w:pPr>
      <w:bookmarkStart w:id="121" w:name="_Toc238039297"/>
      <w:bookmarkEnd w:id="113"/>
      <w:bookmarkEnd w:id="114"/>
      <w:r>
        <w:lastRenderedPageBreak/>
        <w:t>Kriterienkatalog</w:t>
      </w:r>
      <w:bookmarkEnd w:id="121"/>
    </w:p>
    <w:p>
      <w:pPr>
        <w:pStyle w:val="BasisabsatzCharChar"/>
        <w:ind w:left="0"/>
      </w:pPr>
      <w:bookmarkStart w:id="122" w:name="_Toc499725737"/>
      <w:r>
        <w:t xml:space="preserve">Der Kriterienkatalog ist </w:t>
      </w:r>
      <w:r>
        <w:rPr>
          <w:b/>
          <w:u w:val="single"/>
        </w:rPr>
        <w:t>vollständig</w:t>
      </w:r>
      <w:r>
        <w:t xml:space="preserve"> auszufüllen (alle gelb hinterlegten Felder). </w:t>
      </w:r>
    </w:p>
    <w:p>
      <w:pPr>
        <w:pStyle w:val="BasisabsatzCharChar"/>
        <w:tabs>
          <w:tab w:val="num" w:pos="1560"/>
          <w:tab w:val="left" w:pos="1843"/>
        </w:tabs>
        <w:ind w:left="0"/>
      </w:pPr>
      <w:r>
        <w:t>Die im Kriterienkatalog enthaltenen Anforderungen werden in folgende Art von Kriterien klassifiziert:</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5"/>
        <w:gridCol w:w="8054"/>
      </w:tblGrid>
      <w:tr>
        <w:trPr>
          <w:trHeight w:val="495"/>
          <w:jc w:val="center"/>
        </w:trPr>
        <w:tc>
          <w:tcPr>
            <w:tcW w:w="1585" w:type="dxa"/>
            <w:shd w:val="clear" w:color="auto" w:fill="D9D9D9" w:themeFill="background1" w:themeFillShade="D9"/>
            <w:vAlign w:val="center"/>
          </w:tcPr>
          <w:p>
            <w:pPr>
              <w:pStyle w:val="BasisabsatzCharChar"/>
              <w:tabs>
                <w:tab w:val="left" w:pos="1843"/>
              </w:tabs>
              <w:spacing w:after="0"/>
              <w:ind w:left="0"/>
              <w:rPr>
                <w:b/>
              </w:rPr>
            </w:pPr>
            <w:r>
              <w:rPr>
                <w:b/>
              </w:rPr>
              <w:t>Bezeichnung</w:t>
            </w:r>
          </w:p>
        </w:tc>
        <w:tc>
          <w:tcPr>
            <w:tcW w:w="8054" w:type="dxa"/>
            <w:shd w:val="clear" w:color="auto" w:fill="D9D9D9" w:themeFill="background1" w:themeFillShade="D9"/>
            <w:vAlign w:val="center"/>
          </w:tcPr>
          <w:p>
            <w:pPr>
              <w:pStyle w:val="BasisabsatzCharChar"/>
              <w:tabs>
                <w:tab w:val="left" w:pos="1843"/>
              </w:tabs>
              <w:spacing w:after="0"/>
              <w:ind w:left="0"/>
              <w:jc w:val="center"/>
              <w:rPr>
                <w:b/>
              </w:rPr>
            </w:pPr>
            <w:r>
              <w:rPr>
                <w:b/>
              </w:rPr>
              <w:t>Art und Bedeutung des Kriteriums</w:t>
            </w:r>
          </w:p>
        </w:tc>
      </w:tr>
      <w:tr>
        <w:trPr>
          <w:jc w:val="center"/>
        </w:trPr>
        <w:tc>
          <w:tcPr>
            <w:tcW w:w="1585" w:type="dxa"/>
            <w:shd w:val="clear" w:color="auto" w:fill="auto"/>
          </w:tcPr>
          <w:p>
            <w:pPr>
              <w:pStyle w:val="BasisabsatzCharChar"/>
              <w:tabs>
                <w:tab w:val="left" w:pos="1843"/>
              </w:tabs>
              <w:spacing w:before="240"/>
              <w:ind w:left="0"/>
              <w:jc w:val="center"/>
              <w:rPr>
                <w:b/>
              </w:rPr>
            </w:pPr>
            <w:r>
              <w:rPr>
                <w:b/>
              </w:rPr>
              <w:t>A-Kriterien (A)</w:t>
            </w:r>
          </w:p>
        </w:tc>
        <w:tc>
          <w:tcPr>
            <w:tcW w:w="8054" w:type="dxa"/>
            <w:shd w:val="clear" w:color="auto" w:fill="auto"/>
          </w:tcPr>
          <w:p>
            <w:pPr>
              <w:pStyle w:val="BasisabsatzCharChar"/>
              <w:tabs>
                <w:tab w:val="left" w:pos="1843"/>
              </w:tabs>
              <w:spacing w:before="240" w:after="0"/>
              <w:ind w:left="0"/>
              <w:jc w:val="left"/>
              <w:rPr>
                <w:b/>
                <w:u w:val="single"/>
              </w:rPr>
            </w:pPr>
            <w:r>
              <w:rPr>
                <w:b/>
                <w:u w:val="single"/>
              </w:rPr>
              <w:t>Ausschlusskriterium (Mindestanforderungen)</w:t>
            </w:r>
          </w:p>
          <w:p>
            <w:pPr>
              <w:pStyle w:val="BasisabsatzCharChar"/>
              <w:tabs>
                <w:tab w:val="left" w:pos="1843"/>
              </w:tabs>
              <w:ind w:left="0"/>
              <w:jc w:val="left"/>
            </w:pPr>
            <w:r>
              <w:t xml:space="preserve">Als Ausschlusskriterien werden Anforderungen bezeichnet, die unbedingt durch die Bieter zu erfüllen sind, diese sind unverzichtbar. Sie müssen uneingeschränkt (Eintragung: „JA“) erfüllt werden. Diese Kriterien sind im Kriterienkatalog mit dem Buchstaben „A“ gekennzeichnet. </w:t>
            </w:r>
          </w:p>
          <w:p>
            <w:pPr>
              <w:pStyle w:val="BasisabsatzCharChar"/>
              <w:tabs>
                <w:tab w:val="left" w:pos="1843"/>
              </w:tabs>
              <w:ind w:left="0"/>
              <w:jc w:val="left"/>
            </w:pPr>
            <w:r>
              <w:rPr>
                <w:b/>
              </w:rPr>
              <w:t xml:space="preserve">Die </w:t>
            </w:r>
            <w:r>
              <w:rPr>
                <w:b/>
                <w:color w:val="FF0000"/>
              </w:rPr>
              <w:t>Nichterfüllung (= Eintragung „NEIN“)</w:t>
            </w:r>
            <w:r>
              <w:rPr>
                <w:b/>
              </w:rPr>
              <w:t xml:space="preserve"> einer als Ausschlusskriterium gekennzeichneten Anforderung </w:t>
            </w:r>
            <w:r>
              <w:rPr>
                <w:b/>
                <w:color w:val="FF0000"/>
              </w:rPr>
              <w:t>führt zum Ausschluss des gesamten Angebotes.</w:t>
            </w:r>
          </w:p>
        </w:tc>
      </w:tr>
      <w:tr>
        <w:trPr>
          <w:jc w:val="center"/>
        </w:trPr>
        <w:tc>
          <w:tcPr>
            <w:tcW w:w="1585" w:type="dxa"/>
            <w:shd w:val="clear" w:color="auto" w:fill="auto"/>
          </w:tcPr>
          <w:p>
            <w:pPr>
              <w:pStyle w:val="BasisabsatzCharChar"/>
              <w:tabs>
                <w:tab w:val="left" w:pos="1843"/>
              </w:tabs>
              <w:spacing w:before="240" w:after="0"/>
              <w:ind w:left="0"/>
              <w:jc w:val="center"/>
              <w:rPr>
                <w:b/>
              </w:rPr>
            </w:pPr>
            <w:r>
              <w:rPr>
                <w:b/>
              </w:rPr>
              <w:t>B-Kriterien (B)</w:t>
            </w:r>
          </w:p>
        </w:tc>
        <w:tc>
          <w:tcPr>
            <w:tcW w:w="8054" w:type="dxa"/>
            <w:shd w:val="clear" w:color="auto" w:fill="auto"/>
          </w:tcPr>
          <w:p>
            <w:pPr>
              <w:pStyle w:val="BasisabsatzCharChar"/>
              <w:tabs>
                <w:tab w:val="left" w:pos="1843"/>
              </w:tabs>
              <w:spacing w:before="240"/>
              <w:ind w:left="0"/>
              <w:jc w:val="left"/>
              <w:rPr>
                <w:b/>
                <w:u w:val="single"/>
              </w:rPr>
            </w:pPr>
            <w:r>
              <w:rPr>
                <w:b/>
                <w:u w:val="single"/>
              </w:rPr>
              <w:t>Bewertungskriterium</w:t>
            </w:r>
          </w:p>
          <w:p>
            <w:pPr>
              <w:pStyle w:val="BasisabsatzCharChar"/>
              <w:ind w:left="0"/>
            </w:pPr>
            <w:r>
              <w:t>Als Bewertungskriterien werden Anforderungen bezeichnet, welche nach definierten Bewertungsmaßstäben und Punktesystemen bewertet werden.</w:t>
            </w:r>
          </w:p>
        </w:tc>
      </w:tr>
    </w:tbl>
    <w:p>
      <w:pPr>
        <w:pStyle w:val="BasisabsatzCharChar"/>
        <w:spacing w:before="240"/>
        <w:ind w:left="0"/>
        <w:rPr>
          <w:b/>
          <w:bCs/>
        </w:rPr>
      </w:pPr>
      <w:r>
        <w:t>Beim Ausfüllen des Kriterienkatalogs an den vorgesehenen Stellen ist außerdem Folgendes zu beachten:</w:t>
      </w:r>
    </w:p>
    <w:p>
      <w:pPr>
        <w:pStyle w:val="BasisabsatzCharChar"/>
        <w:numPr>
          <w:ilvl w:val="0"/>
          <w:numId w:val="22"/>
        </w:numPr>
      </w:pPr>
      <w:r>
        <w:t>Hinweise und Erläuterungen sind, falls der Platz nicht ausreichend ist, mit dem Vermerk „Auf beigefügter Anlage xx zum Leistungsblatt xx“ auf separaten Anlagen in freier, aber möglichst knapper Form abzufassen.</w:t>
      </w:r>
    </w:p>
    <w:p>
      <w:pPr>
        <w:pStyle w:val="Standa"/>
        <w:numPr>
          <w:ilvl w:val="0"/>
          <w:numId w:val="22"/>
        </w:numPr>
        <w:spacing w:after="120" w:line="360" w:lineRule="auto"/>
        <w:jc w:val="both"/>
      </w:pPr>
      <w:r>
        <w:t xml:space="preserve">Die geforderten Nachweise, Zertifikate und Erklärungen sind beizufügen. Verweise auf Literatur oder Broschüren dürfen nur als ergänzende Information erfolgen und fließen </w:t>
      </w:r>
      <w:r>
        <w:rPr>
          <w:b/>
        </w:rPr>
        <w:t>nicht</w:t>
      </w:r>
      <w:r>
        <w:t xml:space="preserve"> in die Wertung ein. Antworten bzw. Erläuterungen werden dadurch nicht ersetzt.</w:t>
      </w:r>
    </w:p>
    <w:p>
      <w:pPr>
        <w:pStyle w:val="Standa"/>
        <w:numPr>
          <w:ilvl w:val="0"/>
          <w:numId w:val="22"/>
        </w:numPr>
        <w:spacing w:after="120" w:line="360" w:lineRule="auto"/>
        <w:jc w:val="both"/>
      </w:pPr>
      <w:r>
        <w:t>Sofern der Kriterienkatalog bestimmte Erzeugnisse oder Verfahre benennt, können diese durch Produkte gleichwertiger Art ersetzt werden.</w:t>
      </w:r>
    </w:p>
    <w:p>
      <w:pPr>
        <w:pStyle w:val="Standa"/>
        <w:numPr>
          <w:ilvl w:val="0"/>
          <w:numId w:val="22"/>
        </w:numPr>
        <w:spacing w:after="120" w:line="360" w:lineRule="auto"/>
        <w:jc w:val="both"/>
      </w:pPr>
      <w:r>
        <w:t xml:space="preserve">Der Kriterienkatalog ist Bestandteil der Vergabe- und Vertragsunterlagen. Eine Abänderung ist </w:t>
      </w:r>
      <w:r>
        <w:rPr>
          <w:b/>
        </w:rPr>
        <w:t xml:space="preserve">unzulässig </w:t>
      </w:r>
      <w:r>
        <w:t>und führt nach § 57 Abs. 1 Nr. 4 VgV zum Ausschluss des Angebotes.</w:t>
      </w:r>
    </w:p>
    <w:p>
      <w:pPr>
        <w:pStyle w:val="Standa"/>
        <w:spacing w:after="120" w:line="360" w:lineRule="auto"/>
        <w:ind w:left="720"/>
        <w:jc w:val="both"/>
        <w:rPr>
          <w:highlight w:val="yellow"/>
        </w:rPr>
      </w:pPr>
    </w:p>
    <w:tbl>
      <w:tblPr>
        <w:tblStyle w:val="Tabellenraster"/>
        <w:tblW w:w="9634" w:type="dxa"/>
        <w:jc w:val="center"/>
        <w:tblLook w:val="04A0" w:firstRow="1" w:lastRow="0" w:firstColumn="1" w:lastColumn="0" w:noHBand="0" w:noVBand="1"/>
      </w:tblPr>
      <w:tblGrid>
        <w:gridCol w:w="5665"/>
        <w:gridCol w:w="992"/>
        <w:gridCol w:w="1701"/>
        <w:gridCol w:w="1276"/>
      </w:tblGrid>
      <w:tr>
        <w:trPr>
          <w:trHeight w:val="850"/>
          <w:jc w:val="center"/>
        </w:trPr>
        <w:tc>
          <w:tcPr>
            <w:tcW w:w="5665" w:type="dxa"/>
            <w:shd w:val="clear" w:color="auto" w:fill="D9D9D9" w:themeFill="background1" w:themeFillShade="D9"/>
            <w:vAlign w:val="center"/>
          </w:tcPr>
          <w:p>
            <w:pPr>
              <w:jc w:val="center"/>
              <w:rPr>
                <w:rFonts w:cs="Arial"/>
                <w:b/>
              </w:rPr>
            </w:pPr>
            <w:r>
              <w:rPr>
                <w:rFonts w:cs="Arial"/>
                <w:b/>
              </w:rPr>
              <w:t>Leistungen</w:t>
            </w:r>
          </w:p>
        </w:tc>
        <w:tc>
          <w:tcPr>
            <w:tcW w:w="992" w:type="dxa"/>
            <w:shd w:val="clear" w:color="auto" w:fill="D9D9D9" w:themeFill="background1" w:themeFillShade="D9"/>
            <w:vAlign w:val="center"/>
          </w:tcPr>
          <w:p>
            <w:pPr>
              <w:jc w:val="center"/>
              <w:rPr>
                <w:rFonts w:cs="Arial"/>
                <w:b/>
              </w:rPr>
            </w:pPr>
            <w:r>
              <w:rPr>
                <w:rFonts w:cs="Arial"/>
                <w:b/>
              </w:rPr>
              <w:t>Anzahl</w:t>
            </w:r>
          </w:p>
        </w:tc>
        <w:tc>
          <w:tcPr>
            <w:tcW w:w="1701" w:type="dxa"/>
            <w:shd w:val="clear" w:color="auto" w:fill="D9D9D9" w:themeFill="background1" w:themeFillShade="D9"/>
            <w:vAlign w:val="center"/>
          </w:tcPr>
          <w:p>
            <w:pPr>
              <w:jc w:val="center"/>
              <w:rPr>
                <w:rFonts w:cs="Arial"/>
                <w:b/>
              </w:rPr>
            </w:pPr>
            <w:r>
              <w:rPr>
                <w:rFonts w:cs="Arial"/>
                <w:b/>
              </w:rPr>
              <w:t>Angaben des Bieters</w:t>
            </w:r>
          </w:p>
        </w:tc>
        <w:tc>
          <w:tcPr>
            <w:tcW w:w="1276" w:type="dxa"/>
            <w:shd w:val="clear" w:color="auto" w:fill="D9D9D9" w:themeFill="background1" w:themeFillShade="D9"/>
            <w:vAlign w:val="center"/>
          </w:tcPr>
          <w:p>
            <w:pPr>
              <w:jc w:val="center"/>
              <w:rPr>
                <w:rFonts w:cs="Arial"/>
                <w:b/>
              </w:rPr>
            </w:pPr>
            <w:r>
              <w:rPr>
                <w:rFonts w:cs="Arial"/>
                <w:b/>
              </w:rPr>
              <w:t>Kriterium</w:t>
            </w:r>
          </w:p>
        </w:tc>
      </w:tr>
      <w:tr>
        <w:trPr>
          <w:trHeight w:val="498"/>
          <w:jc w:val="center"/>
        </w:trPr>
        <w:tc>
          <w:tcPr>
            <w:tcW w:w="9634" w:type="dxa"/>
            <w:gridSpan w:val="4"/>
            <w:shd w:val="clear" w:color="auto" w:fill="auto"/>
            <w:vAlign w:val="center"/>
          </w:tcPr>
          <w:p>
            <w:pPr>
              <w:rPr>
                <w:rFonts w:cs="Arial"/>
                <w:b/>
                <w:highlight w:val="yellow"/>
              </w:rPr>
            </w:pPr>
            <w:r>
              <w:rPr>
                <w:rFonts w:cs="Arial"/>
                <w:b/>
              </w:rPr>
              <w:t>HCL Domino Support Lizenz Bedarf 2025:</w:t>
            </w:r>
          </w:p>
        </w:tc>
      </w:tr>
      <w:tr>
        <w:trPr>
          <w:trHeight w:val="850"/>
          <w:jc w:val="center"/>
        </w:trPr>
        <w:tc>
          <w:tcPr>
            <w:tcW w:w="9634" w:type="dxa"/>
            <w:gridSpan w:val="4"/>
            <w:shd w:val="clear" w:color="auto" w:fill="auto"/>
            <w:vAlign w:val="center"/>
          </w:tcPr>
          <w:p>
            <w:pPr>
              <w:rPr>
                <w:rFonts w:cs="Arial"/>
                <w:b/>
              </w:rPr>
            </w:pPr>
            <w:r>
              <w:rPr>
                <w:rFonts w:cs="Arial"/>
                <w:b/>
              </w:rPr>
              <w:t>Lizenzen:</w:t>
            </w:r>
          </w:p>
        </w:tc>
      </w:tr>
      <w:tr>
        <w:trPr>
          <w:trHeight w:val="850"/>
          <w:jc w:val="center"/>
        </w:trPr>
        <w:tc>
          <w:tcPr>
            <w:tcW w:w="5665" w:type="dxa"/>
            <w:shd w:val="clear" w:color="auto" w:fill="auto"/>
            <w:vAlign w:val="center"/>
          </w:tcPr>
          <w:p>
            <w:pPr>
              <w:rPr>
                <w:rFonts w:cs="Arial"/>
              </w:rPr>
            </w:pPr>
            <w:r>
              <w:rPr>
                <w:rFonts w:cs="Arial"/>
              </w:rPr>
              <w:t>HCL Domino CCB User</w:t>
            </w:r>
          </w:p>
        </w:tc>
        <w:tc>
          <w:tcPr>
            <w:tcW w:w="992" w:type="dxa"/>
            <w:shd w:val="clear" w:color="auto" w:fill="auto"/>
            <w:vAlign w:val="center"/>
          </w:tcPr>
          <w:p>
            <w:pPr>
              <w:jc w:val="center"/>
              <w:rPr>
                <w:rFonts w:cs="Arial"/>
                <w:b/>
              </w:rPr>
            </w:pPr>
            <w:r>
              <w:rPr>
                <w:rFonts w:cs="Arial"/>
                <w:b/>
              </w:rPr>
              <w:t>4715</w:t>
            </w:r>
          </w:p>
        </w:tc>
        <w:sdt>
          <w:sdtPr>
            <w:rPr>
              <w:rFonts w:cs="Arial"/>
              <w:b/>
              <w:highlight w:val="yellow"/>
            </w:rPr>
            <w:id w:val="536322270"/>
            <w:placeholder>
              <w:docPart w:val="69A1B1FDD0A64CE2B90B080362692501"/>
            </w:placeholder>
            <w:showingPlcHdr/>
          </w:sdtPr>
          <w:sdtContent>
            <w:tc>
              <w:tcPr>
                <w:tcW w:w="1701" w:type="dxa"/>
                <w:shd w:val="clear" w:color="auto" w:fill="FFFF00"/>
                <w:vAlign w:val="center"/>
              </w:tcPr>
              <w:p>
                <w:pPr>
                  <w:jc w:val="center"/>
                  <w:rPr>
                    <w:rFonts w:cs="Arial"/>
                    <w:b/>
                    <w:highlight w:val="yellow"/>
                  </w:rPr>
                </w:pPr>
                <w:r>
                  <w:rPr>
                    <w:rStyle w:val="Platzhaltertext"/>
                  </w:rPr>
                  <w:t>Klicken oder tippen Sie hier, um Text einzugeben.</w:t>
                </w:r>
              </w:p>
            </w:tc>
          </w:sdtContent>
        </w:sdt>
        <w:tc>
          <w:tcPr>
            <w:tcW w:w="1276" w:type="dxa"/>
            <w:shd w:val="clear" w:color="auto" w:fill="auto"/>
            <w:vAlign w:val="center"/>
          </w:tcPr>
          <w:p>
            <w:pPr>
              <w:jc w:val="center"/>
              <w:rPr>
                <w:rFonts w:cs="Arial"/>
                <w:b/>
              </w:rPr>
            </w:pPr>
            <w:r>
              <w:rPr>
                <w:rFonts w:cs="Arial"/>
                <w:b/>
              </w:rPr>
              <w:t>A</w:t>
            </w:r>
          </w:p>
        </w:tc>
      </w:tr>
    </w:tbl>
    <w:p>
      <w:pPr>
        <w:pStyle w:val="Standa"/>
        <w:spacing w:after="120" w:line="360" w:lineRule="auto"/>
        <w:ind w:left="720"/>
        <w:jc w:val="both"/>
        <w:rPr>
          <w:highlight w:val="yellow"/>
        </w:rPr>
      </w:pPr>
    </w:p>
    <w:p>
      <w:pPr>
        <w:pStyle w:val="berschrift1"/>
        <w:spacing w:after="120"/>
        <w:rPr>
          <w:rStyle w:val="berschrift1CharChar"/>
          <w:rFonts w:cs="Arial"/>
          <w:b/>
        </w:rPr>
      </w:pPr>
      <w:bookmarkStart w:id="123" w:name="_Toc238039298"/>
      <w:r>
        <w:rPr>
          <w:rStyle w:val="berschrift1CharChar"/>
          <w:rFonts w:cs="Arial"/>
          <w:b/>
        </w:rPr>
        <w:lastRenderedPageBreak/>
        <w:t>Preisblatt</w:t>
      </w:r>
      <w:bookmarkEnd w:id="122"/>
      <w:bookmarkEnd w:id="123"/>
    </w:p>
    <w:p>
      <w:pPr>
        <w:pStyle w:val="BasisabsatzCharChar"/>
        <w:ind w:left="0"/>
      </w:pPr>
      <w:r>
        <w:t xml:space="preserve">Das Preisblatt ist </w:t>
      </w:r>
      <w:r>
        <w:rPr>
          <w:b/>
          <w:u w:val="single"/>
        </w:rPr>
        <w:t>vollständig</w:t>
      </w:r>
      <w:r>
        <w:t xml:space="preserve"> auszufüllen (alle gelb hinterlegten Felder).</w:t>
      </w:r>
    </w:p>
    <w:p>
      <w:pPr>
        <w:pStyle w:val="BasisabsatzCharChar"/>
        <w:ind w:left="0"/>
        <w:rPr>
          <w:b/>
          <w:bCs/>
        </w:rPr>
      </w:pPr>
      <w:r>
        <w:t>Beim Ausfüllen des Preisblattes an den vorgesehenen Stellen ist außerdem Folgendes zu beachten:</w:t>
      </w:r>
    </w:p>
    <w:p>
      <w:pPr>
        <w:pStyle w:val="BasisabsatzCharChar"/>
        <w:numPr>
          <w:ilvl w:val="0"/>
          <w:numId w:val="23"/>
        </w:numPr>
      </w:pPr>
      <w:r>
        <w:t>Bei der Preiskalkulation / Erstellung des Preisblattes ist zu beachten:</w:t>
      </w:r>
    </w:p>
    <w:p>
      <w:pPr>
        <w:pStyle w:val="BasisabsatzCharChar"/>
        <w:numPr>
          <w:ilvl w:val="0"/>
          <w:numId w:val="24"/>
        </w:numPr>
      </w:pPr>
      <w:r>
        <w:t>Nebenkosten und Reisekosten werden nicht erstattet</w:t>
      </w:r>
    </w:p>
    <w:p>
      <w:pPr>
        <w:pStyle w:val="BasisabsatzCharChar"/>
        <w:numPr>
          <w:ilvl w:val="0"/>
          <w:numId w:val="24"/>
        </w:numPr>
      </w:pPr>
      <w:r>
        <w:t>Vorauszahlungen werden nicht gewährt</w:t>
      </w:r>
    </w:p>
    <w:p>
      <w:pPr>
        <w:pStyle w:val="BasisabsatzCharChar"/>
        <w:numPr>
          <w:ilvl w:val="0"/>
          <w:numId w:val="23"/>
        </w:numPr>
        <w:spacing w:before="60" w:after="60"/>
      </w:pPr>
      <w:r>
        <w:t xml:space="preserve">Das Preisblatt ist Bestandteil der Vergabe- und Vertragsunterlagen. Eine Abänderung ist </w:t>
      </w:r>
      <w:r>
        <w:rPr>
          <w:b/>
        </w:rPr>
        <w:t>unzulässig</w:t>
      </w:r>
      <w:r>
        <w:t xml:space="preserve"> und führt nach § 57 Abs. 1 Nr. 4 VgV zum Ausschluss des Angebotes.</w:t>
      </w:r>
    </w:p>
    <w:p>
      <w:pPr>
        <w:pStyle w:val="BasisabsatzCharChar"/>
        <w:numPr>
          <w:ilvl w:val="0"/>
          <w:numId w:val="23"/>
        </w:numPr>
        <w:rPr>
          <w:szCs w:val="22"/>
        </w:rPr>
      </w:pPr>
      <w:r>
        <w:rPr>
          <w:szCs w:val="22"/>
        </w:rPr>
        <w:t xml:space="preserve">Es sind </w:t>
      </w:r>
      <w:r>
        <w:rPr>
          <w:szCs w:val="22"/>
          <w:u w:val="single"/>
        </w:rPr>
        <w:t>Werte</w:t>
      </w:r>
      <w:r>
        <w:rPr>
          <w:szCs w:val="22"/>
        </w:rPr>
        <w:t xml:space="preserve"> (arabische Zahlen) einzutragen. Keine Eintragungen wie z.B. „wie oben“, „enthalten in“, „-“ oder andere Symbolzeichen oder Wortlaute. Falls für eine Position kein Preis/keine Gebühr anfällt, weil diese z.B. in einer anderen Position enthalten ist, so ist das entsprechende Feld ausschließlich mit 0,00 auszufüllen.</w:t>
      </w:r>
    </w:p>
    <w:p>
      <w:pPr>
        <w:pStyle w:val="BasisabsatzCharChar"/>
        <w:rPr>
          <w:szCs w:val="22"/>
          <w:highlight w:val="yellow"/>
        </w:rPr>
      </w:pPr>
    </w:p>
    <w:tbl>
      <w:tblPr>
        <w:tblStyle w:val="Tabellenraster"/>
        <w:tblW w:w="0" w:type="auto"/>
        <w:jc w:val="center"/>
        <w:tblLook w:val="04A0" w:firstRow="1" w:lastRow="0" w:firstColumn="1" w:lastColumn="0" w:noHBand="0" w:noVBand="1"/>
      </w:tblPr>
      <w:tblGrid>
        <w:gridCol w:w="732"/>
        <w:gridCol w:w="3516"/>
        <w:gridCol w:w="1276"/>
        <w:gridCol w:w="1984"/>
        <w:gridCol w:w="2120"/>
      </w:tblGrid>
      <w:tr>
        <w:trPr>
          <w:cantSplit/>
          <w:trHeight w:val="1134"/>
          <w:jc w:val="center"/>
        </w:trPr>
        <w:tc>
          <w:tcPr>
            <w:tcW w:w="732" w:type="dxa"/>
            <w:shd w:val="clear" w:color="auto" w:fill="D9D9D9" w:themeFill="background1" w:themeFillShade="D9"/>
            <w:textDirection w:val="btLr"/>
            <w:vAlign w:val="center"/>
          </w:tcPr>
          <w:p>
            <w:pPr>
              <w:pStyle w:val="BasisabsatzCharChar"/>
              <w:ind w:left="113" w:right="113"/>
              <w:jc w:val="center"/>
              <w:rPr>
                <w:b/>
                <w:szCs w:val="22"/>
                <w:highlight w:val="green"/>
              </w:rPr>
            </w:pPr>
            <w:r>
              <w:rPr>
                <w:b/>
                <w:szCs w:val="22"/>
              </w:rPr>
              <w:t>Position</w:t>
            </w:r>
          </w:p>
        </w:tc>
        <w:tc>
          <w:tcPr>
            <w:tcW w:w="3516" w:type="dxa"/>
            <w:shd w:val="clear" w:color="auto" w:fill="D9D9D9" w:themeFill="background1" w:themeFillShade="D9"/>
            <w:vAlign w:val="center"/>
          </w:tcPr>
          <w:p>
            <w:pPr>
              <w:pStyle w:val="BasisabsatzCharChar"/>
              <w:ind w:left="0"/>
              <w:jc w:val="center"/>
              <w:rPr>
                <w:b/>
                <w:szCs w:val="22"/>
                <w:highlight w:val="green"/>
              </w:rPr>
            </w:pPr>
            <w:r>
              <w:rPr>
                <w:b/>
                <w:szCs w:val="22"/>
              </w:rPr>
              <w:t>Leistung</w:t>
            </w:r>
          </w:p>
        </w:tc>
        <w:tc>
          <w:tcPr>
            <w:tcW w:w="1276" w:type="dxa"/>
            <w:shd w:val="clear" w:color="auto" w:fill="D9D9D9" w:themeFill="background1" w:themeFillShade="D9"/>
            <w:vAlign w:val="center"/>
          </w:tcPr>
          <w:p>
            <w:pPr>
              <w:pStyle w:val="BasisabsatzCharChar"/>
              <w:spacing w:after="0"/>
              <w:ind w:left="0"/>
              <w:jc w:val="center"/>
              <w:rPr>
                <w:b/>
                <w:szCs w:val="22"/>
                <w:highlight w:val="green"/>
              </w:rPr>
            </w:pPr>
            <w:r>
              <w:rPr>
                <w:b/>
                <w:szCs w:val="22"/>
              </w:rPr>
              <w:t>Mengen</w:t>
            </w:r>
          </w:p>
        </w:tc>
        <w:tc>
          <w:tcPr>
            <w:tcW w:w="1984" w:type="dxa"/>
            <w:shd w:val="clear" w:color="auto" w:fill="D9D9D9" w:themeFill="background1" w:themeFillShade="D9"/>
            <w:vAlign w:val="center"/>
          </w:tcPr>
          <w:p>
            <w:pPr>
              <w:pStyle w:val="BasisabsatzCharChar"/>
              <w:ind w:left="0"/>
              <w:jc w:val="center"/>
              <w:rPr>
                <w:b/>
                <w:szCs w:val="22"/>
                <w:highlight w:val="green"/>
              </w:rPr>
            </w:pPr>
            <w:r>
              <w:rPr>
                <w:rFonts w:cs="Arial"/>
                <w:b/>
                <w:color w:val="000000"/>
                <w:szCs w:val="22"/>
              </w:rPr>
              <w:t xml:space="preserve">Einzelpreis </w:t>
            </w:r>
            <w:r>
              <w:rPr>
                <w:b/>
                <w:szCs w:val="22"/>
              </w:rPr>
              <w:t>in €</w:t>
            </w:r>
            <w:r>
              <w:rPr>
                <w:b/>
                <w:szCs w:val="22"/>
              </w:rPr>
              <w:br/>
              <w:t>(netto)</w:t>
            </w:r>
          </w:p>
        </w:tc>
        <w:tc>
          <w:tcPr>
            <w:tcW w:w="2120" w:type="dxa"/>
            <w:shd w:val="clear" w:color="auto" w:fill="D9D9D9" w:themeFill="background1" w:themeFillShade="D9"/>
            <w:vAlign w:val="center"/>
          </w:tcPr>
          <w:p>
            <w:pPr>
              <w:pStyle w:val="BasisabsatzCharChar"/>
              <w:ind w:left="0"/>
              <w:jc w:val="center"/>
              <w:rPr>
                <w:rFonts w:cs="Arial"/>
                <w:b/>
                <w:color w:val="000000"/>
                <w:szCs w:val="22"/>
              </w:rPr>
            </w:pPr>
            <w:r>
              <w:rPr>
                <w:rFonts w:cs="Arial"/>
                <w:b/>
                <w:color w:val="000000"/>
                <w:szCs w:val="22"/>
              </w:rPr>
              <w:t>Gesamtpreis in €</w:t>
            </w:r>
            <w:r>
              <w:rPr>
                <w:rFonts w:cs="Arial"/>
                <w:b/>
                <w:color w:val="000000"/>
                <w:szCs w:val="22"/>
              </w:rPr>
              <w:br/>
              <w:t>(netto)</w:t>
            </w:r>
          </w:p>
        </w:tc>
      </w:tr>
      <w:tr>
        <w:trPr>
          <w:cantSplit/>
          <w:trHeight w:val="1064"/>
          <w:jc w:val="center"/>
        </w:trPr>
        <w:tc>
          <w:tcPr>
            <w:tcW w:w="732" w:type="dxa"/>
            <w:shd w:val="clear" w:color="auto" w:fill="FFFFFF" w:themeFill="background1"/>
            <w:vAlign w:val="center"/>
          </w:tcPr>
          <w:p>
            <w:pPr>
              <w:pStyle w:val="BasisabsatzCharChar"/>
              <w:ind w:left="0"/>
              <w:jc w:val="center"/>
              <w:rPr>
                <w:b/>
                <w:szCs w:val="22"/>
              </w:rPr>
            </w:pPr>
            <w:r>
              <w:rPr>
                <w:b/>
                <w:szCs w:val="22"/>
              </w:rPr>
              <w:t>01</w:t>
            </w:r>
          </w:p>
        </w:tc>
        <w:tc>
          <w:tcPr>
            <w:tcW w:w="3516" w:type="dxa"/>
            <w:shd w:val="clear" w:color="auto" w:fill="FFFFFF" w:themeFill="background1"/>
            <w:vAlign w:val="center"/>
          </w:tcPr>
          <w:p>
            <w:pPr>
              <w:pStyle w:val="BasisabsatzCharChar"/>
              <w:spacing w:after="0"/>
              <w:ind w:left="0"/>
              <w:jc w:val="left"/>
              <w:rPr>
                <w:szCs w:val="22"/>
              </w:rPr>
            </w:pPr>
            <w:r>
              <w:t>HCL Domino CCB User</w:t>
            </w:r>
          </w:p>
        </w:tc>
        <w:tc>
          <w:tcPr>
            <w:tcW w:w="1276" w:type="dxa"/>
            <w:shd w:val="clear" w:color="auto" w:fill="FFFFFF" w:themeFill="background1"/>
            <w:vAlign w:val="center"/>
          </w:tcPr>
          <w:p>
            <w:pPr>
              <w:pStyle w:val="BasisabsatzCharChar"/>
              <w:spacing w:after="0"/>
              <w:ind w:left="0"/>
              <w:jc w:val="center"/>
              <w:rPr>
                <w:szCs w:val="22"/>
              </w:rPr>
            </w:pPr>
            <w:r>
              <w:rPr>
                <w:szCs w:val="22"/>
              </w:rPr>
              <w:t>4715</w:t>
            </w:r>
          </w:p>
        </w:tc>
        <w:sdt>
          <w:sdtPr>
            <w:rPr>
              <w:sz w:val="20"/>
              <w:szCs w:val="22"/>
              <w:highlight w:val="yellow"/>
            </w:rPr>
            <w:id w:val="-930889213"/>
            <w:placeholder>
              <w:docPart w:val="8873322BB3EA42129A6A2556E01E5914"/>
            </w:placeholder>
          </w:sdtPr>
          <w:sdtContent>
            <w:sdt>
              <w:sdtPr>
                <w:rPr>
                  <w:sz w:val="20"/>
                  <w:szCs w:val="22"/>
                  <w:highlight w:val="yellow"/>
                </w:rPr>
                <w:id w:val="-351960418"/>
                <w:placeholder>
                  <w:docPart w:val="6A1A84ECD5544E9A9F395CA2D9E03496"/>
                </w:placeholder>
                <w:showingPlcHdr/>
              </w:sdtPr>
              <w:sdtEndPr>
                <w:rPr>
                  <w:highlight w:val="none"/>
                </w:rPr>
              </w:sdtEndPr>
              <w:sdtContent>
                <w:tc>
                  <w:tcPr>
                    <w:tcW w:w="1984" w:type="dxa"/>
                    <w:shd w:val="clear" w:color="auto" w:fill="FFFF00"/>
                  </w:tcPr>
                  <w:p>
                    <w:pPr>
                      <w:pStyle w:val="BasisabsatzCharChar"/>
                      <w:ind w:left="0"/>
                      <w:rPr>
                        <w:sz w:val="20"/>
                        <w:szCs w:val="22"/>
                        <w:highlight w:val="yellow"/>
                      </w:rPr>
                    </w:pPr>
                    <w:r>
                      <w:rPr>
                        <w:rStyle w:val="Platzhaltertext"/>
                        <w:sz w:val="20"/>
                      </w:rPr>
                      <w:t>Klicken oder tippen Sie hier, um Text einzugeben.</w:t>
                    </w:r>
                  </w:p>
                </w:tc>
              </w:sdtContent>
            </w:sdt>
          </w:sdtContent>
        </w:sdt>
        <w:sdt>
          <w:sdtPr>
            <w:rPr>
              <w:sz w:val="20"/>
              <w:szCs w:val="22"/>
              <w:highlight w:val="yellow"/>
            </w:rPr>
            <w:id w:val="-668860206"/>
            <w:placeholder>
              <w:docPart w:val="E91D6DD5DCFB418BBF6EF97CE73B7BDE"/>
            </w:placeholder>
          </w:sdtPr>
          <w:sdtContent>
            <w:sdt>
              <w:sdtPr>
                <w:rPr>
                  <w:sz w:val="20"/>
                  <w:szCs w:val="22"/>
                  <w:highlight w:val="yellow"/>
                </w:rPr>
                <w:id w:val="-1958482625"/>
                <w:placeholder>
                  <w:docPart w:val="AC69D749F789441D8A9E82ADB8F87D27"/>
                </w:placeholder>
                <w:showingPlcHdr/>
              </w:sdtPr>
              <w:sdtEndPr>
                <w:rPr>
                  <w:highlight w:val="none"/>
                </w:rPr>
              </w:sdtEndPr>
              <w:sdtContent>
                <w:tc>
                  <w:tcPr>
                    <w:tcW w:w="2120" w:type="dxa"/>
                    <w:shd w:val="clear" w:color="auto" w:fill="FFFF00"/>
                  </w:tcPr>
                  <w:p>
                    <w:pPr>
                      <w:pStyle w:val="BasisabsatzCharChar"/>
                      <w:ind w:left="0"/>
                      <w:jc w:val="center"/>
                      <w:rPr>
                        <w:sz w:val="20"/>
                        <w:szCs w:val="22"/>
                        <w:highlight w:val="yellow"/>
                      </w:rPr>
                    </w:pPr>
                    <w:r>
                      <w:rPr>
                        <w:rStyle w:val="Platzhaltertext"/>
                        <w:sz w:val="20"/>
                      </w:rPr>
                      <w:t>Klicken oder tippen Sie hier, um Text einzugeben.</w:t>
                    </w:r>
                  </w:p>
                </w:tc>
              </w:sdtContent>
            </w:sdt>
          </w:sdtContent>
        </w:sdt>
      </w:tr>
      <w:tr>
        <w:trPr>
          <w:trHeight w:val="919"/>
          <w:jc w:val="center"/>
        </w:trPr>
        <w:tc>
          <w:tcPr>
            <w:tcW w:w="7508" w:type="dxa"/>
            <w:gridSpan w:val="4"/>
            <w:shd w:val="clear" w:color="auto" w:fill="D9D9D9" w:themeFill="background1" w:themeFillShade="D9"/>
            <w:vAlign w:val="center"/>
          </w:tcPr>
          <w:p>
            <w:pPr>
              <w:pStyle w:val="BasisabsatzCharChar"/>
              <w:spacing w:after="0"/>
              <w:ind w:left="0"/>
              <w:jc w:val="center"/>
              <w:rPr>
                <w:rFonts w:cs="Arial"/>
                <w:color w:val="000000"/>
                <w:szCs w:val="22"/>
              </w:rPr>
            </w:pPr>
            <w:r>
              <w:rPr>
                <w:b/>
                <w:szCs w:val="22"/>
              </w:rPr>
              <w:t xml:space="preserve">Gesamtsumme in € </w:t>
            </w:r>
            <w:r>
              <w:rPr>
                <w:b/>
                <w:color w:val="FF0000"/>
                <w:szCs w:val="22"/>
              </w:rPr>
              <w:t>netto</w:t>
            </w:r>
          </w:p>
        </w:tc>
        <w:sdt>
          <w:sdtPr>
            <w:rPr>
              <w:sz w:val="20"/>
              <w:szCs w:val="22"/>
            </w:rPr>
            <w:id w:val="959765595"/>
            <w:placeholder>
              <w:docPart w:val="E417D93A7CA4408CA43C8F3BA46A91F0"/>
            </w:placeholder>
            <w:showingPlcHdr/>
          </w:sdtPr>
          <w:sdtContent>
            <w:tc>
              <w:tcPr>
                <w:tcW w:w="2120" w:type="dxa"/>
                <w:shd w:val="clear" w:color="auto" w:fill="FFFF00"/>
              </w:tcPr>
              <w:p>
                <w:pPr>
                  <w:spacing w:line="360" w:lineRule="auto"/>
                </w:pPr>
                <w:r>
                  <w:rPr>
                    <w:rStyle w:val="Platzhaltertext"/>
                    <w:sz w:val="20"/>
                  </w:rPr>
                  <w:t>Klicken oder tippen Sie hier, um Text einzugeben.</w:t>
                </w:r>
              </w:p>
            </w:tc>
          </w:sdtContent>
        </w:sdt>
      </w:tr>
      <w:tr>
        <w:trPr>
          <w:trHeight w:val="919"/>
          <w:jc w:val="center"/>
        </w:trPr>
        <w:tc>
          <w:tcPr>
            <w:tcW w:w="7508" w:type="dxa"/>
            <w:gridSpan w:val="4"/>
            <w:shd w:val="clear" w:color="auto" w:fill="D9D9D9" w:themeFill="background1" w:themeFillShade="D9"/>
            <w:vAlign w:val="center"/>
          </w:tcPr>
          <w:p>
            <w:pPr>
              <w:jc w:val="center"/>
              <w:rPr>
                <w:rFonts w:cs="Arial"/>
                <w:color w:val="000000"/>
                <w:szCs w:val="22"/>
              </w:rPr>
            </w:pPr>
            <w:r>
              <w:rPr>
                <w:b/>
                <w:szCs w:val="22"/>
              </w:rPr>
              <w:t>Umsatzsteuer (MwSt. 19,0%)</w:t>
            </w:r>
          </w:p>
        </w:tc>
        <w:sdt>
          <w:sdtPr>
            <w:rPr>
              <w:sz w:val="20"/>
              <w:szCs w:val="22"/>
            </w:rPr>
            <w:id w:val="-400056562"/>
            <w:placeholder>
              <w:docPart w:val="9661D3B6D4E147589B9E933B54F54FE1"/>
            </w:placeholder>
            <w:showingPlcHdr/>
          </w:sdtPr>
          <w:sdtContent>
            <w:tc>
              <w:tcPr>
                <w:tcW w:w="2120" w:type="dxa"/>
                <w:shd w:val="clear" w:color="auto" w:fill="FFFF00"/>
              </w:tcPr>
              <w:p>
                <w:pPr>
                  <w:spacing w:line="360" w:lineRule="auto"/>
                </w:pPr>
                <w:r>
                  <w:rPr>
                    <w:rStyle w:val="Platzhaltertext"/>
                    <w:sz w:val="20"/>
                  </w:rPr>
                  <w:t>Klicken oder tippen Sie hier, um Text einzugeben.</w:t>
                </w:r>
              </w:p>
            </w:tc>
          </w:sdtContent>
        </w:sdt>
      </w:tr>
      <w:tr>
        <w:trPr>
          <w:trHeight w:val="919"/>
          <w:jc w:val="center"/>
        </w:trPr>
        <w:tc>
          <w:tcPr>
            <w:tcW w:w="7508" w:type="dxa"/>
            <w:gridSpan w:val="4"/>
            <w:shd w:val="clear" w:color="auto" w:fill="D9D9D9" w:themeFill="background1" w:themeFillShade="D9"/>
            <w:vAlign w:val="center"/>
          </w:tcPr>
          <w:p>
            <w:pPr>
              <w:jc w:val="center"/>
              <w:rPr>
                <w:rFonts w:cs="Arial"/>
                <w:color w:val="000000"/>
                <w:szCs w:val="22"/>
              </w:rPr>
            </w:pPr>
            <w:r>
              <w:rPr>
                <w:b/>
                <w:szCs w:val="22"/>
              </w:rPr>
              <w:t>Gesamtsumme in € brutto</w:t>
            </w:r>
          </w:p>
        </w:tc>
        <w:sdt>
          <w:sdtPr>
            <w:rPr>
              <w:sz w:val="20"/>
              <w:szCs w:val="22"/>
              <w:highlight w:val="yellow"/>
            </w:rPr>
            <w:id w:val="105784613"/>
            <w:placeholder>
              <w:docPart w:val="421AAF92E473442C9944371394AECAAF"/>
            </w:placeholder>
          </w:sdtPr>
          <w:sdtContent>
            <w:sdt>
              <w:sdtPr>
                <w:rPr>
                  <w:sz w:val="20"/>
                  <w:szCs w:val="22"/>
                  <w:highlight w:val="yellow"/>
                </w:rPr>
                <w:id w:val="-2073800357"/>
                <w:placeholder>
                  <w:docPart w:val="9C06D83350844C5491B8ECCFCB56C3F8"/>
                </w:placeholder>
                <w:showingPlcHdr/>
              </w:sdtPr>
              <w:sdtEndPr>
                <w:rPr>
                  <w:highlight w:val="none"/>
                </w:rPr>
              </w:sdtEndPr>
              <w:sdtContent>
                <w:tc>
                  <w:tcPr>
                    <w:tcW w:w="2120" w:type="dxa"/>
                    <w:shd w:val="clear" w:color="auto" w:fill="FFFF00"/>
                    <w:vAlign w:val="center"/>
                  </w:tcPr>
                  <w:p>
                    <w:pPr>
                      <w:pStyle w:val="BasisabsatzCharChar"/>
                      <w:ind w:left="0"/>
                      <w:jc w:val="center"/>
                      <w:rPr>
                        <w:sz w:val="20"/>
                        <w:szCs w:val="22"/>
                        <w:highlight w:val="yellow"/>
                      </w:rPr>
                    </w:pPr>
                    <w:r>
                      <w:rPr>
                        <w:rStyle w:val="Platzhaltertext"/>
                        <w:sz w:val="20"/>
                      </w:rPr>
                      <w:t>Klicken oder tippen Sie hier, um Text einzugeben.</w:t>
                    </w:r>
                  </w:p>
                </w:tc>
              </w:sdtContent>
            </w:sdt>
          </w:sdtContent>
        </w:sdt>
      </w:tr>
    </w:tbl>
    <w:p>
      <w:pPr>
        <w:pStyle w:val="BasisabsatzCharChar"/>
        <w:ind w:left="0"/>
        <w:rPr>
          <w:szCs w:val="22"/>
          <w:highlight w:val="yellow"/>
        </w:rPr>
      </w:pPr>
    </w:p>
    <w:p>
      <w:pPr>
        <w:pStyle w:val="BasisabsatzCharChar"/>
        <w:rPr>
          <w:szCs w:val="22"/>
          <w:highlight w:val="yellow"/>
        </w:rPr>
      </w:pPr>
    </w:p>
    <w:p>
      <w:pPr>
        <w:pStyle w:val="berschrift1"/>
        <w:pageBreakBefore w:val="0"/>
        <w:tabs>
          <w:tab w:val="left" w:pos="1843"/>
        </w:tabs>
        <w:spacing w:line="240" w:lineRule="auto"/>
        <w:rPr>
          <w:rFonts w:cs="Arial"/>
        </w:rPr>
      </w:pPr>
      <w:bookmarkStart w:id="124" w:name="_Toc261942849"/>
      <w:bookmarkStart w:id="125" w:name="_Toc6382973"/>
      <w:bookmarkStart w:id="126" w:name="_Toc238039299"/>
      <w:r>
        <w:rPr>
          <w:rFonts w:cs="Arial"/>
        </w:rPr>
        <w:lastRenderedPageBreak/>
        <w:t>Anlagen</w:t>
      </w:r>
      <w:bookmarkEnd w:id="124"/>
      <w:bookmarkEnd w:id="125"/>
      <w:bookmarkEnd w:id="126"/>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9214"/>
      </w:tblGrid>
      <w:tr>
        <w:trPr>
          <w:trHeight w:val="951"/>
        </w:trPr>
        <w:tc>
          <w:tcPr>
            <w:tcW w:w="675" w:type="dxa"/>
            <w:shd w:val="clear" w:color="auto" w:fill="D9D9D9" w:themeFill="background1" w:themeFillShade="D9"/>
            <w:vAlign w:val="center"/>
          </w:tcPr>
          <w:p>
            <w:pPr>
              <w:keepNext/>
              <w:numPr>
                <w:ilvl w:val="0"/>
                <w:numId w:val="21"/>
              </w:numPr>
              <w:tabs>
                <w:tab w:val="left" w:pos="1843"/>
              </w:tabs>
              <w:spacing w:line="360" w:lineRule="auto"/>
              <w:ind w:left="502"/>
              <w:jc w:val="center"/>
              <w:rPr>
                <w:rFonts w:cs="Arial"/>
                <w:szCs w:val="22"/>
              </w:rPr>
            </w:pPr>
          </w:p>
        </w:tc>
        <w:tc>
          <w:tcPr>
            <w:tcW w:w="9214" w:type="dxa"/>
            <w:vAlign w:val="center"/>
          </w:tcPr>
          <w:p>
            <w:pPr>
              <w:keepNext/>
              <w:tabs>
                <w:tab w:val="left" w:pos="1843"/>
              </w:tabs>
              <w:spacing w:line="360" w:lineRule="auto"/>
              <w:jc w:val="both"/>
              <w:rPr>
                <w:rFonts w:cs="Arial"/>
                <w:szCs w:val="22"/>
              </w:rPr>
            </w:pPr>
            <w:r>
              <w:rPr>
                <w:rFonts w:cs="Arial"/>
                <w:szCs w:val="22"/>
              </w:rPr>
              <w:t xml:space="preserve">Formblatt 631 </w:t>
            </w:r>
            <w:proofErr w:type="gramStart"/>
            <w:r>
              <w:rPr>
                <w:rFonts w:cs="Arial"/>
                <w:szCs w:val="22"/>
              </w:rPr>
              <w:t>EU Aufforderung</w:t>
            </w:r>
            <w:proofErr w:type="gramEnd"/>
            <w:r>
              <w:rPr>
                <w:rFonts w:cs="Arial"/>
                <w:szCs w:val="22"/>
              </w:rPr>
              <w:t xml:space="preserve"> zur Abgabe eines Angebotes</w:t>
            </w:r>
          </w:p>
          <w:p>
            <w:pPr>
              <w:keepNext/>
              <w:tabs>
                <w:tab w:val="left" w:pos="1843"/>
              </w:tabs>
              <w:spacing w:line="360" w:lineRule="auto"/>
              <w:jc w:val="both"/>
              <w:rPr>
                <w:rFonts w:cs="Arial"/>
                <w:szCs w:val="22"/>
              </w:rPr>
            </w:pPr>
            <w:r>
              <w:rPr>
                <w:rFonts w:cs="Arial"/>
                <w:szCs w:val="22"/>
              </w:rPr>
              <w:t>(Datei: “00_Angebotsaufforderung_2026 247“)</w:t>
            </w:r>
          </w:p>
        </w:tc>
      </w:tr>
      <w:tr>
        <w:trPr>
          <w:trHeight w:val="978"/>
        </w:trPr>
        <w:tc>
          <w:tcPr>
            <w:tcW w:w="675" w:type="dxa"/>
            <w:shd w:val="clear" w:color="auto" w:fill="D9D9D9" w:themeFill="background1" w:themeFillShade="D9"/>
            <w:vAlign w:val="center"/>
          </w:tcPr>
          <w:p>
            <w:pPr>
              <w:keepNext/>
              <w:numPr>
                <w:ilvl w:val="0"/>
                <w:numId w:val="21"/>
              </w:numPr>
              <w:tabs>
                <w:tab w:val="left" w:pos="1843"/>
              </w:tabs>
              <w:spacing w:line="360" w:lineRule="auto"/>
              <w:ind w:left="502"/>
              <w:jc w:val="center"/>
              <w:rPr>
                <w:rFonts w:cs="Arial"/>
                <w:szCs w:val="22"/>
              </w:rPr>
            </w:pPr>
          </w:p>
        </w:tc>
        <w:tc>
          <w:tcPr>
            <w:tcW w:w="9214" w:type="dxa"/>
            <w:vAlign w:val="center"/>
          </w:tcPr>
          <w:p>
            <w:pPr>
              <w:keepNext/>
              <w:tabs>
                <w:tab w:val="left" w:pos="1843"/>
              </w:tabs>
              <w:spacing w:line="360" w:lineRule="auto"/>
              <w:jc w:val="both"/>
              <w:rPr>
                <w:rFonts w:cs="Arial"/>
                <w:szCs w:val="22"/>
              </w:rPr>
            </w:pPr>
            <w:r>
              <w:rPr>
                <w:rFonts w:cs="Arial"/>
                <w:szCs w:val="22"/>
              </w:rPr>
              <w:t>Formblatt 633 Angebotsschreiben</w:t>
            </w:r>
          </w:p>
          <w:p>
            <w:pPr>
              <w:keepNext/>
              <w:tabs>
                <w:tab w:val="left" w:pos="1843"/>
              </w:tabs>
              <w:spacing w:line="360" w:lineRule="auto"/>
              <w:jc w:val="both"/>
              <w:rPr>
                <w:rFonts w:cs="Arial"/>
                <w:szCs w:val="22"/>
              </w:rPr>
            </w:pPr>
            <w:r>
              <w:rPr>
                <w:rFonts w:cs="Arial"/>
                <w:szCs w:val="22"/>
              </w:rPr>
              <w:t>(Datei: “01_Angebotsschreiben_2026 247“)</w:t>
            </w:r>
          </w:p>
        </w:tc>
      </w:tr>
      <w:tr>
        <w:trPr>
          <w:trHeight w:val="992"/>
        </w:trPr>
        <w:tc>
          <w:tcPr>
            <w:tcW w:w="675" w:type="dxa"/>
            <w:shd w:val="clear" w:color="auto" w:fill="D9D9D9" w:themeFill="background1" w:themeFillShade="D9"/>
            <w:vAlign w:val="center"/>
          </w:tcPr>
          <w:p>
            <w:pPr>
              <w:keepNext/>
              <w:numPr>
                <w:ilvl w:val="0"/>
                <w:numId w:val="21"/>
              </w:numPr>
              <w:tabs>
                <w:tab w:val="left" w:pos="1843"/>
              </w:tabs>
              <w:spacing w:line="360" w:lineRule="auto"/>
              <w:ind w:left="502"/>
              <w:jc w:val="center"/>
              <w:rPr>
                <w:rFonts w:cs="Arial"/>
                <w:szCs w:val="22"/>
              </w:rPr>
            </w:pPr>
          </w:p>
        </w:tc>
        <w:tc>
          <w:tcPr>
            <w:tcW w:w="9214" w:type="dxa"/>
            <w:vAlign w:val="center"/>
          </w:tcPr>
          <w:p>
            <w:pPr>
              <w:keepNext/>
              <w:tabs>
                <w:tab w:val="left" w:pos="1843"/>
              </w:tabs>
              <w:spacing w:line="360" w:lineRule="auto"/>
              <w:rPr>
                <w:rFonts w:cs="Arial"/>
                <w:szCs w:val="22"/>
              </w:rPr>
            </w:pPr>
            <w:r>
              <w:rPr>
                <w:rFonts w:cs="Arial"/>
                <w:szCs w:val="22"/>
              </w:rPr>
              <w:t xml:space="preserve">Formblatt 632 </w:t>
            </w:r>
            <w:proofErr w:type="gramStart"/>
            <w:r>
              <w:rPr>
                <w:rFonts w:cs="Arial"/>
                <w:szCs w:val="22"/>
              </w:rPr>
              <w:t>EU Bewerbungsbedingungen</w:t>
            </w:r>
            <w:proofErr w:type="gramEnd"/>
            <w:r>
              <w:rPr>
                <w:rFonts w:cs="Arial"/>
                <w:szCs w:val="22"/>
              </w:rPr>
              <w:t xml:space="preserve"> für die Vergabe von Leistungen</w:t>
            </w:r>
            <w:r>
              <w:rPr>
                <w:rFonts w:cs="Arial"/>
                <w:szCs w:val="22"/>
              </w:rPr>
              <w:br/>
              <w:t>(Datei: “02_Bewerbungsbedingungen_2026 247“)</w:t>
            </w:r>
          </w:p>
        </w:tc>
      </w:tr>
      <w:tr>
        <w:trPr>
          <w:trHeight w:val="978"/>
        </w:trPr>
        <w:tc>
          <w:tcPr>
            <w:tcW w:w="675" w:type="dxa"/>
            <w:shd w:val="clear" w:color="auto" w:fill="D9D9D9" w:themeFill="background1" w:themeFillShade="D9"/>
            <w:vAlign w:val="center"/>
          </w:tcPr>
          <w:p>
            <w:pPr>
              <w:keepNext/>
              <w:numPr>
                <w:ilvl w:val="0"/>
                <w:numId w:val="21"/>
              </w:numPr>
              <w:tabs>
                <w:tab w:val="left" w:pos="1843"/>
              </w:tabs>
              <w:spacing w:line="360" w:lineRule="auto"/>
              <w:ind w:left="502"/>
              <w:jc w:val="center"/>
              <w:rPr>
                <w:rFonts w:cs="Arial"/>
                <w:szCs w:val="22"/>
              </w:rPr>
            </w:pPr>
          </w:p>
        </w:tc>
        <w:tc>
          <w:tcPr>
            <w:tcW w:w="9214" w:type="dxa"/>
            <w:vAlign w:val="center"/>
          </w:tcPr>
          <w:p>
            <w:pPr>
              <w:keepNext/>
              <w:tabs>
                <w:tab w:val="left" w:pos="993"/>
                <w:tab w:val="left" w:pos="1843"/>
              </w:tabs>
              <w:spacing w:line="360" w:lineRule="auto"/>
              <w:jc w:val="both"/>
              <w:rPr>
                <w:rFonts w:cs="Arial"/>
                <w:szCs w:val="22"/>
              </w:rPr>
            </w:pPr>
            <w:r>
              <w:rPr>
                <w:rFonts w:cs="Arial"/>
                <w:szCs w:val="22"/>
              </w:rPr>
              <w:t>Formblatt 124 LD Eigenerklärung zur Eignung in folgendem Vergabeverfahren</w:t>
            </w:r>
          </w:p>
          <w:p>
            <w:pPr>
              <w:keepNext/>
              <w:tabs>
                <w:tab w:val="left" w:pos="993"/>
                <w:tab w:val="left" w:pos="1843"/>
              </w:tabs>
              <w:spacing w:line="360" w:lineRule="auto"/>
              <w:jc w:val="both"/>
              <w:rPr>
                <w:rFonts w:cs="Arial"/>
                <w:szCs w:val="22"/>
              </w:rPr>
            </w:pPr>
            <w:r>
              <w:rPr>
                <w:rFonts w:cs="Arial"/>
                <w:szCs w:val="22"/>
              </w:rPr>
              <w:t>(Datei: “03_Eigenerklärung_2026 247“)</w:t>
            </w:r>
          </w:p>
        </w:tc>
      </w:tr>
      <w:tr>
        <w:trPr>
          <w:trHeight w:val="1403"/>
        </w:trPr>
        <w:tc>
          <w:tcPr>
            <w:tcW w:w="675" w:type="dxa"/>
            <w:shd w:val="clear" w:color="auto" w:fill="D9D9D9" w:themeFill="background1" w:themeFillShade="D9"/>
            <w:vAlign w:val="center"/>
          </w:tcPr>
          <w:p>
            <w:pPr>
              <w:keepNext/>
              <w:numPr>
                <w:ilvl w:val="0"/>
                <w:numId w:val="21"/>
              </w:numPr>
              <w:tabs>
                <w:tab w:val="left" w:pos="1843"/>
              </w:tabs>
              <w:spacing w:line="360" w:lineRule="auto"/>
              <w:ind w:left="502"/>
              <w:jc w:val="center"/>
              <w:rPr>
                <w:rFonts w:cs="Arial"/>
                <w:szCs w:val="22"/>
              </w:rPr>
            </w:pPr>
          </w:p>
        </w:tc>
        <w:tc>
          <w:tcPr>
            <w:tcW w:w="9214" w:type="dxa"/>
            <w:vAlign w:val="center"/>
          </w:tcPr>
          <w:p>
            <w:pPr>
              <w:keepNext/>
              <w:tabs>
                <w:tab w:val="left" w:pos="993"/>
                <w:tab w:val="left" w:pos="1843"/>
              </w:tabs>
              <w:spacing w:line="360" w:lineRule="auto"/>
              <w:jc w:val="both"/>
              <w:rPr>
                <w:rFonts w:cs="Arial"/>
                <w:szCs w:val="22"/>
              </w:rPr>
            </w:pPr>
            <w:r>
              <w:rPr>
                <w:rFonts w:cs="Arial"/>
                <w:szCs w:val="22"/>
              </w:rPr>
              <w:t>Formblatt Verpflichtungserklärung zur Einhaltung des Tariftreue- und Mindestlohngesetzes Rheinland-Pfalz (LTTG)</w:t>
            </w:r>
          </w:p>
          <w:p>
            <w:pPr>
              <w:keepNext/>
              <w:tabs>
                <w:tab w:val="left" w:pos="993"/>
                <w:tab w:val="left" w:pos="1843"/>
              </w:tabs>
              <w:spacing w:line="360" w:lineRule="auto"/>
              <w:jc w:val="both"/>
              <w:rPr>
                <w:rFonts w:cs="Arial"/>
                <w:szCs w:val="22"/>
              </w:rPr>
            </w:pPr>
            <w:r>
              <w:rPr>
                <w:rFonts w:cs="Arial"/>
                <w:szCs w:val="22"/>
              </w:rPr>
              <w:t>(Datei: “04_LTTG_Erklaerung_1_2026 247“)</w:t>
            </w:r>
          </w:p>
        </w:tc>
      </w:tr>
      <w:tr>
        <w:trPr>
          <w:trHeight w:val="985"/>
        </w:trPr>
        <w:tc>
          <w:tcPr>
            <w:tcW w:w="675" w:type="dxa"/>
            <w:shd w:val="clear" w:color="auto" w:fill="D9D9D9" w:themeFill="background1" w:themeFillShade="D9"/>
            <w:vAlign w:val="center"/>
          </w:tcPr>
          <w:p>
            <w:pPr>
              <w:keepNext/>
              <w:numPr>
                <w:ilvl w:val="0"/>
                <w:numId w:val="21"/>
              </w:numPr>
              <w:tabs>
                <w:tab w:val="left" w:pos="1843"/>
              </w:tabs>
              <w:spacing w:line="360" w:lineRule="auto"/>
              <w:ind w:left="502"/>
              <w:jc w:val="center"/>
              <w:rPr>
                <w:rFonts w:cs="Arial"/>
                <w:szCs w:val="22"/>
              </w:rPr>
            </w:pPr>
          </w:p>
        </w:tc>
        <w:tc>
          <w:tcPr>
            <w:tcW w:w="9214" w:type="dxa"/>
            <w:vAlign w:val="center"/>
          </w:tcPr>
          <w:p>
            <w:pPr>
              <w:keepNext/>
              <w:tabs>
                <w:tab w:val="left" w:pos="993"/>
                <w:tab w:val="left" w:pos="1843"/>
              </w:tabs>
              <w:spacing w:line="360" w:lineRule="auto"/>
              <w:jc w:val="both"/>
              <w:rPr>
                <w:rFonts w:cs="Arial"/>
                <w:szCs w:val="22"/>
              </w:rPr>
            </w:pPr>
            <w:r>
              <w:rPr>
                <w:rFonts w:cs="Arial"/>
                <w:szCs w:val="22"/>
              </w:rPr>
              <w:t>Merkblatt für die Abgabe einer Tariftreueerklärung und/oder Mindestentgelterklärung</w:t>
            </w:r>
          </w:p>
          <w:p>
            <w:pPr>
              <w:keepNext/>
              <w:tabs>
                <w:tab w:val="left" w:pos="993"/>
                <w:tab w:val="left" w:pos="1843"/>
              </w:tabs>
              <w:spacing w:line="360" w:lineRule="auto"/>
              <w:jc w:val="both"/>
              <w:rPr>
                <w:rFonts w:cs="Arial"/>
                <w:szCs w:val="22"/>
              </w:rPr>
            </w:pPr>
            <w:r>
              <w:rPr>
                <w:rFonts w:cs="Arial"/>
                <w:szCs w:val="22"/>
              </w:rPr>
              <w:t>(Datei: “05_Merkblatt LTTG_2026 247“)</w:t>
            </w:r>
          </w:p>
        </w:tc>
      </w:tr>
      <w:tr>
        <w:trPr>
          <w:trHeight w:val="984"/>
        </w:trPr>
        <w:tc>
          <w:tcPr>
            <w:tcW w:w="675" w:type="dxa"/>
            <w:shd w:val="clear" w:color="auto" w:fill="D9D9D9" w:themeFill="background1" w:themeFillShade="D9"/>
            <w:vAlign w:val="center"/>
          </w:tcPr>
          <w:p>
            <w:pPr>
              <w:keepNext/>
              <w:numPr>
                <w:ilvl w:val="0"/>
                <w:numId w:val="21"/>
              </w:numPr>
              <w:tabs>
                <w:tab w:val="left" w:pos="1843"/>
              </w:tabs>
              <w:spacing w:line="360" w:lineRule="auto"/>
              <w:ind w:left="502"/>
              <w:jc w:val="center"/>
              <w:rPr>
                <w:rFonts w:cs="Arial"/>
                <w:szCs w:val="22"/>
              </w:rPr>
            </w:pPr>
          </w:p>
        </w:tc>
        <w:tc>
          <w:tcPr>
            <w:tcW w:w="9214" w:type="dxa"/>
            <w:vAlign w:val="center"/>
          </w:tcPr>
          <w:p>
            <w:pPr>
              <w:tabs>
                <w:tab w:val="left" w:pos="1843"/>
              </w:tabs>
              <w:spacing w:line="360" w:lineRule="auto"/>
              <w:jc w:val="both"/>
              <w:rPr>
                <w:rFonts w:cs="Arial"/>
                <w:szCs w:val="22"/>
              </w:rPr>
            </w:pPr>
            <w:r>
              <w:rPr>
                <w:rFonts w:cs="Arial"/>
                <w:szCs w:val="22"/>
              </w:rPr>
              <w:t>Formblatt 235 Verzeichnis der Leistungen/Kapazitäten anderer Unternehmen</w:t>
            </w:r>
          </w:p>
          <w:p>
            <w:pPr>
              <w:keepNext/>
              <w:tabs>
                <w:tab w:val="left" w:pos="993"/>
                <w:tab w:val="left" w:pos="1843"/>
              </w:tabs>
              <w:spacing w:line="360" w:lineRule="auto"/>
              <w:rPr>
                <w:rFonts w:cs="Arial"/>
                <w:szCs w:val="22"/>
              </w:rPr>
            </w:pPr>
            <w:r>
              <w:rPr>
                <w:rFonts w:cs="Arial"/>
                <w:szCs w:val="22"/>
              </w:rPr>
              <w:t>(Datei: “06_Nachunternehmer_2026 247“)</w:t>
            </w:r>
          </w:p>
        </w:tc>
      </w:tr>
      <w:tr>
        <w:trPr>
          <w:trHeight w:val="1126"/>
        </w:trPr>
        <w:tc>
          <w:tcPr>
            <w:tcW w:w="675" w:type="dxa"/>
            <w:shd w:val="clear" w:color="auto" w:fill="D9D9D9" w:themeFill="background1" w:themeFillShade="D9"/>
            <w:vAlign w:val="center"/>
          </w:tcPr>
          <w:p>
            <w:pPr>
              <w:keepNext/>
              <w:numPr>
                <w:ilvl w:val="0"/>
                <w:numId w:val="21"/>
              </w:numPr>
              <w:tabs>
                <w:tab w:val="left" w:pos="1843"/>
              </w:tabs>
              <w:spacing w:line="360" w:lineRule="auto"/>
              <w:ind w:left="502"/>
              <w:jc w:val="center"/>
              <w:rPr>
                <w:rFonts w:cs="Arial"/>
                <w:szCs w:val="22"/>
              </w:rPr>
            </w:pPr>
          </w:p>
        </w:tc>
        <w:tc>
          <w:tcPr>
            <w:tcW w:w="9214" w:type="dxa"/>
            <w:vAlign w:val="center"/>
          </w:tcPr>
          <w:p>
            <w:pPr>
              <w:tabs>
                <w:tab w:val="left" w:pos="993"/>
                <w:tab w:val="left" w:pos="1843"/>
              </w:tabs>
              <w:spacing w:line="360" w:lineRule="auto"/>
              <w:jc w:val="both"/>
              <w:rPr>
                <w:rFonts w:cs="Arial"/>
                <w:szCs w:val="22"/>
              </w:rPr>
            </w:pPr>
            <w:r>
              <w:rPr>
                <w:rFonts w:cs="Arial"/>
                <w:szCs w:val="22"/>
              </w:rPr>
              <w:t>Formblatt 234 Erklärung der Bieter-/Arbeitsgemeinschaft</w:t>
            </w:r>
          </w:p>
          <w:p>
            <w:pPr>
              <w:keepNext/>
              <w:tabs>
                <w:tab w:val="left" w:pos="993"/>
                <w:tab w:val="left" w:pos="1843"/>
              </w:tabs>
              <w:spacing w:line="360" w:lineRule="auto"/>
              <w:rPr>
                <w:rFonts w:cs="Arial"/>
                <w:szCs w:val="22"/>
              </w:rPr>
            </w:pPr>
            <w:r>
              <w:rPr>
                <w:rFonts w:cs="Arial"/>
                <w:szCs w:val="22"/>
              </w:rPr>
              <w:t>(Datei: “07_Bieter-Arbeitsgemeinschaft_2026 247“)</w:t>
            </w:r>
          </w:p>
        </w:tc>
      </w:tr>
      <w:tr>
        <w:trPr>
          <w:trHeight w:val="2120"/>
        </w:trPr>
        <w:tc>
          <w:tcPr>
            <w:tcW w:w="675" w:type="dxa"/>
            <w:shd w:val="clear" w:color="auto" w:fill="D9D9D9" w:themeFill="background1" w:themeFillShade="D9"/>
            <w:vAlign w:val="center"/>
          </w:tcPr>
          <w:p>
            <w:pPr>
              <w:keepNext/>
              <w:numPr>
                <w:ilvl w:val="0"/>
                <w:numId w:val="21"/>
              </w:numPr>
              <w:tabs>
                <w:tab w:val="left" w:pos="1843"/>
              </w:tabs>
              <w:spacing w:line="360" w:lineRule="auto"/>
              <w:ind w:left="502"/>
              <w:jc w:val="center"/>
              <w:rPr>
                <w:rFonts w:cs="Arial"/>
                <w:szCs w:val="22"/>
              </w:rPr>
            </w:pPr>
          </w:p>
        </w:tc>
        <w:tc>
          <w:tcPr>
            <w:tcW w:w="9214" w:type="dxa"/>
            <w:vAlign w:val="center"/>
          </w:tcPr>
          <w:p>
            <w:pPr>
              <w:tabs>
                <w:tab w:val="left" w:pos="993"/>
                <w:tab w:val="left" w:pos="1843"/>
              </w:tabs>
              <w:spacing w:line="360" w:lineRule="auto"/>
              <w:jc w:val="both"/>
              <w:rPr>
                <w:rFonts w:cs="Arial"/>
                <w:szCs w:val="22"/>
              </w:rPr>
            </w:pPr>
            <w:r>
              <w:rPr>
                <w:rFonts w:cs="Arial"/>
                <w:szCs w:val="22"/>
              </w:rPr>
              <w:t>Eigenerklärung zu Art. 5 Artikel 5 k) Absatz 1 der Verordnung (EU) Nr. 833/2014 in der Fassung des Art. 1 Ziff. 23 der Verordnung (EU) 2022/576 des Rates vom 8. April 2022 über restriktive Maßnahmen angesichts der Handlungen Russlands, die die Lage in der Ukraine destabilisieren</w:t>
            </w:r>
          </w:p>
          <w:p>
            <w:pPr>
              <w:tabs>
                <w:tab w:val="left" w:pos="993"/>
                <w:tab w:val="left" w:pos="1843"/>
              </w:tabs>
              <w:spacing w:line="360" w:lineRule="auto"/>
              <w:jc w:val="both"/>
              <w:rPr>
                <w:rFonts w:cs="Arial"/>
                <w:szCs w:val="22"/>
              </w:rPr>
            </w:pPr>
            <w:r>
              <w:rPr>
                <w:rFonts w:cs="Arial"/>
                <w:szCs w:val="22"/>
              </w:rPr>
              <w:t>(Datei: “08_Eigenerklärung-VO-2022-833_2026 247“)</w:t>
            </w:r>
          </w:p>
        </w:tc>
      </w:tr>
    </w:tbl>
    <w:p>
      <w:r>
        <w:br w:type="page"/>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9214"/>
      </w:tblGrid>
      <w:tr>
        <w:trPr>
          <w:trHeight w:val="113"/>
        </w:trPr>
        <w:tc>
          <w:tcPr>
            <w:tcW w:w="675" w:type="dxa"/>
            <w:shd w:val="clear" w:color="auto" w:fill="D9D9D9" w:themeFill="background1" w:themeFillShade="D9"/>
            <w:vAlign w:val="center"/>
          </w:tcPr>
          <w:p>
            <w:pPr>
              <w:keepNext/>
              <w:numPr>
                <w:ilvl w:val="0"/>
                <w:numId w:val="21"/>
              </w:numPr>
              <w:tabs>
                <w:tab w:val="left" w:pos="1843"/>
              </w:tabs>
              <w:spacing w:line="360" w:lineRule="auto"/>
              <w:ind w:left="502"/>
              <w:jc w:val="center"/>
              <w:rPr>
                <w:rFonts w:cs="Arial"/>
                <w:szCs w:val="22"/>
              </w:rPr>
            </w:pPr>
          </w:p>
        </w:tc>
        <w:tc>
          <w:tcPr>
            <w:tcW w:w="9214" w:type="dxa"/>
            <w:vAlign w:val="center"/>
          </w:tcPr>
          <w:p>
            <w:pPr>
              <w:tabs>
                <w:tab w:val="left" w:pos="993"/>
                <w:tab w:val="left" w:pos="1843"/>
              </w:tabs>
              <w:spacing w:line="360" w:lineRule="auto"/>
              <w:rPr>
                <w:rFonts w:cs="Arial"/>
                <w:szCs w:val="22"/>
              </w:rPr>
            </w:pPr>
            <w:r>
              <w:rPr>
                <w:rFonts w:cs="Arial"/>
                <w:szCs w:val="22"/>
              </w:rPr>
              <w:t xml:space="preserve">Ergänzende Vertragsbedingungen für die zeitlich befristete Überlassung von Standardsoftware – EVB-IT Überlassung Typ B –   </w:t>
            </w:r>
          </w:p>
          <w:p>
            <w:pPr>
              <w:tabs>
                <w:tab w:val="left" w:pos="993"/>
                <w:tab w:val="left" w:pos="1843"/>
              </w:tabs>
              <w:spacing w:after="240" w:line="360" w:lineRule="auto"/>
              <w:jc w:val="both"/>
              <w:rPr>
                <w:rFonts w:cs="Arial"/>
                <w:szCs w:val="22"/>
              </w:rPr>
            </w:pPr>
            <w:r>
              <w:rPr>
                <w:rFonts w:cs="Arial"/>
                <w:szCs w:val="22"/>
              </w:rPr>
              <w:t>(Datei: “09_EVB_IT_Ueberlassung_AGB_TypB_2026 247“)</w:t>
            </w:r>
          </w:p>
        </w:tc>
      </w:tr>
      <w:tr>
        <w:trPr>
          <w:trHeight w:val="1283"/>
        </w:trPr>
        <w:tc>
          <w:tcPr>
            <w:tcW w:w="675" w:type="dxa"/>
            <w:shd w:val="clear" w:color="auto" w:fill="D9D9D9" w:themeFill="background1" w:themeFillShade="D9"/>
            <w:vAlign w:val="center"/>
          </w:tcPr>
          <w:p>
            <w:pPr>
              <w:keepNext/>
              <w:numPr>
                <w:ilvl w:val="0"/>
                <w:numId w:val="21"/>
              </w:numPr>
              <w:tabs>
                <w:tab w:val="left" w:pos="1843"/>
              </w:tabs>
              <w:spacing w:line="360" w:lineRule="auto"/>
              <w:ind w:left="502"/>
              <w:jc w:val="center"/>
              <w:rPr>
                <w:rFonts w:cs="Arial"/>
                <w:szCs w:val="22"/>
              </w:rPr>
            </w:pPr>
          </w:p>
        </w:tc>
        <w:tc>
          <w:tcPr>
            <w:tcW w:w="9214" w:type="dxa"/>
            <w:vAlign w:val="center"/>
          </w:tcPr>
          <w:p>
            <w:pPr>
              <w:tabs>
                <w:tab w:val="left" w:pos="993"/>
                <w:tab w:val="left" w:pos="1843"/>
              </w:tabs>
              <w:spacing w:line="360" w:lineRule="auto"/>
              <w:rPr>
                <w:rFonts w:cs="Arial"/>
                <w:szCs w:val="22"/>
              </w:rPr>
            </w:pPr>
            <w:r>
              <w:rPr>
                <w:rFonts w:cs="Arial"/>
                <w:szCs w:val="22"/>
              </w:rPr>
              <w:t xml:space="preserve">Ergänzende Vertragsbedingungen für die Pflege von Standardsoftware </w:t>
            </w:r>
            <w:r>
              <w:rPr>
                <w:rFonts w:cs="Arial"/>
                <w:szCs w:val="22"/>
              </w:rPr>
              <w:br/>
              <w:t xml:space="preserve">– EVB-IT Pflege S-AGB –  </w:t>
            </w:r>
          </w:p>
          <w:p>
            <w:pPr>
              <w:tabs>
                <w:tab w:val="left" w:pos="993"/>
                <w:tab w:val="left" w:pos="1843"/>
              </w:tabs>
              <w:spacing w:line="360" w:lineRule="auto"/>
              <w:rPr>
                <w:rFonts w:cs="Arial"/>
                <w:szCs w:val="22"/>
              </w:rPr>
            </w:pPr>
            <w:r>
              <w:rPr>
                <w:rFonts w:cs="Arial"/>
                <w:szCs w:val="22"/>
              </w:rPr>
              <w:t>(Datei: “10_EVB_IT_Pflege_S_AGB_2026 247“)</w:t>
            </w:r>
          </w:p>
        </w:tc>
      </w:tr>
      <w:tr>
        <w:trPr>
          <w:trHeight w:val="1275"/>
        </w:trPr>
        <w:tc>
          <w:tcPr>
            <w:tcW w:w="675" w:type="dxa"/>
            <w:shd w:val="clear" w:color="auto" w:fill="D9D9D9" w:themeFill="background1" w:themeFillShade="D9"/>
            <w:vAlign w:val="center"/>
          </w:tcPr>
          <w:p>
            <w:pPr>
              <w:keepNext/>
              <w:numPr>
                <w:ilvl w:val="0"/>
                <w:numId w:val="21"/>
              </w:numPr>
              <w:tabs>
                <w:tab w:val="left" w:pos="1843"/>
              </w:tabs>
              <w:spacing w:line="360" w:lineRule="auto"/>
              <w:ind w:left="502"/>
              <w:jc w:val="center"/>
              <w:rPr>
                <w:rFonts w:cs="Arial"/>
                <w:szCs w:val="22"/>
              </w:rPr>
            </w:pPr>
          </w:p>
        </w:tc>
        <w:tc>
          <w:tcPr>
            <w:tcW w:w="9214" w:type="dxa"/>
            <w:vAlign w:val="center"/>
          </w:tcPr>
          <w:p>
            <w:pPr>
              <w:tabs>
                <w:tab w:val="left" w:pos="993"/>
                <w:tab w:val="left" w:pos="1843"/>
              </w:tabs>
              <w:spacing w:line="360" w:lineRule="auto"/>
              <w:rPr>
                <w:rFonts w:cs="Arial"/>
                <w:szCs w:val="22"/>
              </w:rPr>
            </w:pPr>
            <w:r>
              <w:rPr>
                <w:rFonts w:cs="Arial"/>
                <w:szCs w:val="22"/>
              </w:rPr>
              <w:t xml:space="preserve">Informationen zum Einreichen elektronischer Rechnungen über den zentralen E-Rechnungseingang RLP (ZRE)  </w:t>
            </w:r>
          </w:p>
          <w:p>
            <w:pPr>
              <w:tabs>
                <w:tab w:val="left" w:pos="993"/>
                <w:tab w:val="left" w:pos="1843"/>
              </w:tabs>
              <w:spacing w:line="360" w:lineRule="auto"/>
              <w:rPr>
                <w:rFonts w:cs="Arial"/>
                <w:szCs w:val="22"/>
              </w:rPr>
            </w:pPr>
            <w:r>
              <w:rPr>
                <w:rFonts w:cs="Arial"/>
                <w:szCs w:val="22"/>
              </w:rPr>
              <w:t>(Datei: “11_Information_Rechnungsstellung“)</w:t>
            </w:r>
          </w:p>
        </w:tc>
      </w:tr>
      <w:tr>
        <w:trPr>
          <w:trHeight w:val="1275"/>
        </w:trPr>
        <w:tc>
          <w:tcPr>
            <w:tcW w:w="675" w:type="dxa"/>
            <w:shd w:val="clear" w:color="auto" w:fill="D9D9D9" w:themeFill="background1" w:themeFillShade="D9"/>
            <w:vAlign w:val="center"/>
          </w:tcPr>
          <w:p>
            <w:pPr>
              <w:keepNext/>
              <w:numPr>
                <w:ilvl w:val="0"/>
                <w:numId w:val="21"/>
              </w:numPr>
              <w:tabs>
                <w:tab w:val="left" w:pos="1843"/>
              </w:tabs>
              <w:spacing w:line="360" w:lineRule="auto"/>
              <w:ind w:left="502"/>
              <w:jc w:val="center"/>
              <w:rPr>
                <w:rFonts w:cs="Arial"/>
                <w:szCs w:val="22"/>
              </w:rPr>
            </w:pPr>
          </w:p>
        </w:tc>
        <w:tc>
          <w:tcPr>
            <w:tcW w:w="9214" w:type="dxa"/>
            <w:vAlign w:val="center"/>
          </w:tcPr>
          <w:p>
            <w:pPr>
              <w:tabs>
                <w:tab w:val="left" w:pos="993"/>
                <w:tab w:val="left" w:pos="1843"/>
              </w:tabs>
              <w:spacing w:line="360" w:lineRule="auto"/>
              <w:rPr>
                <w:rFonts w:cs="Arial"/>
                <w:szCs w:val="22"/>
              </w:rPr>
            </w:pPr>
            <w:r>
              <w:rPr>
                <w:rFonts w:cs="Arial"/>
                <w:szCs w:val="22"/>
              </w:rPr>
              <w:t>HCL Notes Lizenzinformation</w:t>
            </w:r>
          </w:p>
          <w:p>
            <w:pPr>
              <w:tabs>
                <w:tab w:val="left" w:pos="993"/>
                <w:tab w:val="left" w:pos="1843"/>
              </w:tabs>
              <w:spacing w:line="360" w:lineRule="auto"/>
              <w:rPr>
                <w:rFonts w:cs="Arial"/>
                <w:szCs w:val="22"/>
              </w:rPr>
            </w:pPr>
            <w:r>
              <w:rPr>
                <w:rFonts w:cs="Arial"/>
                <w:szCs w:val="22"/>
              </w:rPr>
              <w:t>(Datei: “12_ScanLizenz2027_Ausschreibung“)</w:t>
            </w:r>
          </w:p>
        </w:tc>
      </w:tr>
      <w:bookmarkEnd w:id="0"/>
      <w:bookmarkEnd w:id="9"/>
    </w:tbl>
    <w:p>
      <w:pPr>
        <w:pStyle w:val="BasisabsatzCharChar"/>
        <w:tabs>
          <w:tab w:val="left" w:pos="2268"/>
          <w:tab w:val="left" w:pos="2835"/>
        </w:tabs>
        <w:ind w:left="2835" w:hanging="1701"/>
        <w:rPr>
          <w:rFonts w:cs="Arial"/>
          <w:szCs w:val="22"/>
        </w:rPr>
      </w:pPr>
    </w:p>
    <w:sectPr>
      <w:headerReference w:type="default" r:id="rId20"/>
      <w:footerReference w:type="default" r:id="rId21"/>
      <w:headerReference w:type="first" r:id="rId22"/>
      <w:footerReference w:type="first" r:id="rId23"/>
      <w:pgSz w:w="11906" w:h="16838" w:code="9"/>
      <w:pgMar w:top="1701" w:right="1134" w:bottom="1418" w:left="1134"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Yu Gothic"/>
    <w:panose1 w:val="02020609040205080304"/>
    <w:charset w:val="80"/>
    <w:family w:val="roman"/>
    <w:notTrueType/>
    <w:pitch w:val="fixed"/>
    <w:sig w:usb0="00000000" w:usb1="08070000" w:usb2="00000010" w:usb3="00000000" w:csb0="00020000" w:csb1="00000000"/>
  </w:font>
  <w:font w:name="Courier (W1)">
    <w:altName w:val="Courier New"/>
    <w:panose1 w:val="00000000000000000000"/>
    <w:charset w:val="00"/>
    <w:family w:val="modern"/>
    <w:notTrueType/>
    <w:pitch w:val="fixed"/>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Fet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uzeile"/>
      <w:pBdr>
        <w:top w:val="single" w:sz="12" w:space="8" w:color="auto"/>
      </w:pBdr>
      <w:tabs>
        <w:tab w:val="clear" w:pos="4536"/>
        <w:tab w:val="clear" w:pos="9072"/>
        <w:tab w:val="right" w:pos="9639"/>
      </w:tabs>
      <w:spacing w:line="360" w:lineRule="auto"/>
      <w:rPr>
        <w:rStyle w:val="Seitenzahl"/>
        <w:b/>
        <w:szCs w:val="22"/>
      </w:rPr>
    </w:pPr>
    <w:r>
      <w:rPr>
        <w:rFonts w:cs="Arial"/>
        <w:sz w:val="16"/>
        <w:szCs w:val="16"/>
      </w:rPr>
      <w:t>©</w:t>
    </w:r>
    <w:r>
      <w:rPr>
        <w:sz w:val="16"/>
        <w:szCs w:val="16"/>
      </w:rPr>
      <w:t xml:space="preserve"> Stv Ludwigshafen am Rhein</w:t>
    </w:r>
    <w:r>
      <w:rPr>
        <w:b/>
        <w:szCs w:val="22"/>
      </w:rPr>
      <w:tab/>
      <w:t xml:space="preserve">Seite </w:t>
    </w:r>
    <w:r>
      <w:rPr>
        <w:b/>
        <w:szCs w:val="22"/>
      </w:rPr>
      <w:fldChar w:fldCharType="begin"/>
    </w:r>
    <w:r>
      <w:rPr>
        <w:b/>
        <w:szCs w:val="22"/>
      </w:rPr>
      <w:instrText xml:space="preserve"> PAGE </w:instrText>
    </w:r>
    <w:r>
      <w:rPr>
        <w:b/>
        <w:szCs w:val="22"/>
      </w:rPr>
      <w:fldChar w:fldCharType="separate"/>
    </w:r>
    <w:r>
      <w:rPr>
        <w:b/>
        <w:noProof/>
        <w:szCs w:val="22"/>
      </w:rPr>
      <w:t>19</w:t>
    </w:r>
    <w:r>
      <w:rPr>
        <w:b/>
        <w:szCs w:val="22"/>
      </w:rPr>
      <w:fldChar w:fldCharType="end"/>
    </w:r>
    <w:r>
      <w:rPr>
        <w:b/>
        <w:szCs w:val="22"/>
      </w:rPr>
      <w:t xml:space="preserve"> von</w:t>
    </w:r>
    <w:r>
      <w:rPr>
        <w:rStyle w:val="Seitenzahl"/>
        <w:b/>
        <w:szCs w:val="22"/>
      </w:rPr>
      <w:t xml:space="preserve"> </w:t>
    </w:r>
    <w:r>
      <w:rPr>
        <w:rStyle w:val="Seitenzahl"/>
        <w:b/>
        <w:szCs w:val="22"/>
      </w:rPr>
      <w:fldChar w:fldCharType="begin"/>
    </w:r>
    <w:r>
      <w:rPr>
        <w:rStyle w:val="Seitenzahl"/>
        <w:b/>
        <w:szCs w:val="22"/>
      </w:rPr>
      <w:instrText xml:space="preserve"> NUMPAGES </w:instrText>
    </w:r>
    <w:r>
      <w:rPr>
        <w:rStyle w:val="Seitenzahl"/>
        <w:b/>
        <w:szCs w:val="22"/>
      </w:rPr>
      <w:fldChar w:fldCharType="separate"/>
    </w:r>
    <w:r>
      <w:rPr>
        <w:rStyle w:val="Seitenzahl"/>
        <w:b/>
        <w:noProof/>
        <w:szCs w:val="22"/>
      </w:rPr>
      <w:t>25</w:t>
    </w:r>
    <w:r>
      <w:rPr>
        <w:rStyle w:val="Seitenzahl"/>
        <w:b/>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uzeile"/>
      <w:pBdr>
        <w:top w:val="single" w:sz="12" w:space="8" w:color="auto"/>
      </w:pBdr>
      <w:tabs>
        <w:tab w:val="clear" w:pos="4536"/>
        <w:tab w:val="clear" w:pos="9072"/>
        <w:tab w:val="left" w:pos="4879"/>
        <w:tab w:val="right" w:pos="9638"/>
      </w:tabs>
      <w:spacing w:line="360" w:lineRule="auto"/>
      <w:rPr>
        <w:b/>
        <w:szCs w:val="22"/>
      </w:rPr>
    </w:pPr>
    <w:r>
      <w:rPr>
        <w:rFonts w:cs="Arial"/>
        <w:sz w:val="16"/>
        <w:szCs w:val="16"/>
      </w:rPr>
      <w:t>©</w:t>
    </w:r>
    <w:r>
      <w:rPr>
        <w:sz w:val="16"/>
        <w:szCs w:val="16"/>
      </w:rPr>
      <w:t xml:space="preserve"> Stv Ludwigshafen am Rhein</w:t>
    </w:r>
    <w:r>
      <w:rPr>
        <w:b/>
        <w:szCs w:val="22"/>
      </w:rPr>
      <w:tab/>
      <w:t xml:space="preserve">                                                     Seite </w:t>
    </w:r>
    <w:r>
      <w:rPr>
        <w:b/>
        <w:szCs w:val="22"/>
      </w:rPr>
      <w:fldChar w:fldCharType="begin"/>
    </w:r>
    <w:r>
      <w:rPr>
        <w:b/>
        <w:szCs w:val="22"/>
      </w:rPr>
      <w:instrText xml:space="preserve"> PAGE </w:instrText>
    </w:r>
    <w:r>
      <w:rPr>
        <w:b/>
        <w:szCs w:val="22"/>
      </w:rPr>
      <w:fldChar w:fldCharType="separate"/>
    </w:r>
    <w:r>
      <w:rPr>
        <w:b/>
        <w:noProof/>
        <w:szCs w:val="22"/>
      </w:rPr>
      <w:t>1</w:t>
    </w:r>
    <w:r>
      <w:rPr>
        <w:b/>
        <w:szCs w:val="22"/>
      </w:rPr>
      <w:fldChar w:fldCharType="end"/>
    </w:r>
    <w:r>
      <w:rPr>
        <w:b/>
        <w:szCs w:val="22"/>
      </w:rPr>
      <w:t xml:space="preserve"> von</w:t>
    </w:r>
    <w:r>
      <w:rPr>
        <w:rStyle w:val="Seitenzahl"/>
        <w:b/>
        <w:szCs w:val="22"/>
      </w:rPr>
      <w:t xml:space="preserve"> </w:t>
    </w:r>
    <w:r>
      <w:rPr>
        <w:rStyle w:val="Seitenzahl"/>
        <w:b/>
        <w:szCs w:val="22"/>
      </w:rPr>
      <w:fldChar w:fldCharType="begin"/>
    </w:r>
    <w:r>
      <w:rPr>
        <w:rStyle w:val="Seitenzahl"/>
        <w:b/>
        <w:szCs w:val="22"/>
      </w:rPr>
      <w:instrText xml:space="preserve"> NUMPAGES </w:instrText>
    </w:r>
    <w:r>
      <w:rPr>
        <w:rStyle w:val="Seitenzahl"/>
        <w:b/>
        <w:szCs w:val="22"/>
      </w:rPr>
      <w:fldChar w:fldCharType="separate"/>
    </w:r>
    <w:r>
      <w:rPr>
        <w:rStyle w:val="Seitenzahl"/>
        <w:b/>
        <w:noProof/>
        <w:szCs w:val="22"/>
      </w:rPr>
      <w:t>25</w:t>
    </w:r>
    <w:r>
      <w:rPr>
        <w:rStyle w:val="Seitenzahl"/>
        <w:b/>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 w:id="1">
    <w:p>
      <w:pPr>
        <w:pStyle w:val="Default"/>
      </w:pPr>
      <w:r>
        <w:rPr>
          <w:rStyle w:val="Funotenzeichen"/>
        </w:rPr>
        <w:footnoteRef/>
      </w:r>
      <w:r>
        <w:t xml:space="preserve"> </w:t>
      </w:r>
      <w:r>
        <w:rPr>
          <w:color w:val="000000"/>
          <w:sz w:val="16"/>
          <w:szCs w:val="16"/>
          <w:lang w:eastAsia="de-DE"/>
        </w:rPr>
        <w:t xml:space="preserve">Die jeweils aktuell geltende Fassung der Verordnung kann in der Datenbank der Europäischen Union, EUR-Lex, eingesehen werden. Die aufgrund von Änderungen konsolidierten Fassungen der Verordnung (EU) Nr. 833/2014 sind hier zu finden; </w:t>
      </w:r>
      <w:r>
        <w:rPr>
          <w:color w:val="0000FF"/>
          <w:sz w:val="16"/>
          <w:szCs w:val="16"/>
          <w:lang w:eastAsia="de-DE"/>
        </w:rPr>
        <w:t xml:space="preserve">Verordnung - 833/2014 - EN - EUR-Lex (europa.eu) </w:t>
      </w:r>
      <w:r>
        <w:rPr>
          <w:color w:val="000000"/>
          <w:sz w:val="16"/>
          <w:szCs w:val="16"/>
          <w:lang w:eastAsia="de-DE"/>
        </w:rPr>
        <w:t>Dabei ist darauf zu achten, dass die aktuellste Fassung mit dem spätesten Datum ausgewählt wird.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408"/>
      <w:gridCol w:w="5530"/>
      <w:gridCol w:w="1701"/>
    </w:tblGrid>
    <w:tr>
      <w:trPr>
        <w:cantSplit/>
        <w:trHeight w:val="694"/>
      </w:trPr>
      <w:tc>
        <w:tcPr>
          <w:tcW w:w="2408" w:type="dxa"/>
          <w:vMerge w:val="restart"/>
          <w:tcBorders>
            <w:top w:val="single" w:sz="6" w:space="0" w:color="auto"/>
            <w:left w:val="single" w:sz="6" w:space="0" w:color="auto"/>
            <w:bottom w:val="single" w:sz="6" w:space="0" w:color="auto"/>
            <w:right w:val="single" w:sz="6" w:space="0" w:color="auto"/>
          </w:tcBorders>
          <w:hideMark/>
        </w:tcPr>
        <w:p>
          <w:pPr>
            <w:pStyle w:val="Kopfzeile"/>
            <w:spacing w:before="120"/>
            <w:ind w:left="-57"/>
          </w:pPr>
          <w:r>
            <w:rPr>
              <w:noProof/>
              <w:lang w:eastAsia="de-DE"/>
            </w:rPr>
            <w:drawing>
              <wp:inline distT="0" distB="0" distL="0" distR="0">
                <wp:extent cx="1488440" cy="733425"/>
                <wp:effectExtent l="0" t="0" r="0" b="9525"/>
                <wp:docPr id="1" name="Grafik 2" descr="Beschreibung: LU_Logo_Wortmarke_sw_14cm_fr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Beschreibung: LU_Logo_Wortmarke_sw_14cm_fre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8440" cy="733425"/>
                        </a:xfrm>
                        <a:prstGeom prst="rect">
                          <a:avLst/>
                        </a:prstGeom>
                        <a:noFill/>
                        <a:ln>
                          <a:noFill/>
                        </a:ln>
                      </pic:spPr>
                    </pic:pic>
                  </a:graphicData>
                </a:graphic>
              </wp:inline>
            </w:drawing>
          </w:r>
        </w:p>
      </w:tc>
      <w:tc>
        <w:tcPr>
          <w:tcW w:w="5530" w:type="dxa"/>
          <w:tcBorders>
            <w:top w:val="single" w:sz="6" w:space="0" w:color="auto"/>
            <w:left w:val="single" w:sz="6" w:space="0" w:color="auto"/>
            <w:right w:val="single" w:sz="6" w:space="0" w:color="auto"/>
          </w:tcBorders>
          <w:vAlign w:val="center"/>
          <w:hideMark/>
        </w:tcPr>
        <w:p>
          <w:pPr>
            <w:pStyle w:val="Kopfzeile"/>
            <w:jc w:val="center"/>
            <w:rPr>
              <w:b/>
              <w:bCs/>
              <w:szCs w:val="22"/>
            </w:rPr>
          </w:pPr>
          <w:r>
            <w:rPr>
              <w:b/>
              <w:bCs/>
              <w:szCs w:val="22"/>
            </w:rPr>
            <w:t xml:space="preserve">HCL Domino Support Renewal – </w:t>
          </w:r>
        </w:p>
        <w:p>
          <w:pPr>
            <w:pStyle w:val="Kopfzeile"/>
            <w:jc w:val="center"/>
            <w:rPr>
              <w:b/>
              <w:iCs/>
              <w:szCs w:val="22"/>
            </w:rPr>
          </w:pPr>
          <w:r>
            <w:rPr>
              <w:b/>
              <w:bCs/>
              <w:szCs w:val="22"/>
            </w:rPr>
            <w:t>Subscription und Support</w:t>
          </w:r>
        </w:p>
      </w:tc>
      <w:tc>
        <w:tcPr>
          <w:tcW w:w="1701" w:type="dxa"/>
          <w:vMerge w:val="restart"/>
          <w:tcBorders>
            <w:top w:val="single" w:sz="6" w:space="0" w:color="auto"/>
            <w:left w:val="single" w:sz="6" w:space="0" w:color="auto"/>
            <w:bottom w:val="single" w:sz="6" w:space="0" w:color="auto"/>
            <w:right w:val="single" w:sz="6" w:space="0" w:color="auto"/>
          </w:tcBorders>
          <w:vAlign w:val="center"/>
          <w:hideMark/>
        </w:tcPr>
        <w:p>
          <w:pPr>
            <w:pStyle w:val="Kopfzeile"/>
            <w:tabs>
              <w:tab w:val="center" w:pos="313"/>
              <w:tab w:val="right" w:pos="626"/>
            </w:tabs>
            <w:jc w:val="center"/>
            <w:rPr>
              <w:sz w:val="16"/>
            </w:rPr>
          </w:pPr>
          <w:r>
            <w:rPr>
              <w:b/>
              <w:szCs w:val="22"/>
            </w:rPr>
            <w:t xml:space="preserve">Seite </w:t>
          </w:r>
          <w:r>
            <w:rPr>
              <w:b/>
              <w:szCs w:val="22"/>
            </w:rPr>
            <w:br/>
          </w:r>
          <w:r>
            <w:rPr>
              <w:b/>
              <w:szCs w:val="22"/>
            </w:rPr>
            <w:fldChar w:fldCharType="begin"/>
          </w:r>
          <w:r>
            <w:rPr>
              <w:b/>
              <w:szCs w:val="22"/>
            </w:rPr>
            <w:instrText xml:space="preserve"> PAGE </w:instrText>
          </w:r>
          <w:r>
            <w:rPr>
              <w:b/>
              <w:szCs w:val="22"/>
            </w:rPr>
            <w:fldChar w:fldCharType="separate"/>
          </w:r>
          <w:r>
            <w:rPr>
              <w:b/>
              <w:noProof/>
              <w:szCs w:val="22"/>
            </w:rPr>
            <w:t>19</w:t>
          </w:r>
          <w:r>
            <w:rPr>
              <w:b/>
              <w:szCs w:val="22"/>
            </w:rPr>
            <w:fldChar w:fldCharType="end"/>
          </w:r>
          <w:r>
            <w:rPr>
              <w:b/>
              <w:szCs w:val="22"/>
            </w:rPr>
            <w:t xml:space="preserve"> von</w:t>
          </w:r>
          <w:r>
            <w:rPr>
              <w:rStyle w:val="Seitenzahl"/>
              <w:b/>
              <w:szCs w:val="22"/>
            </w:rPr>
            <w:t xml:space="preserve"> </w:t>
          </w:r>
          <w:r>
            <w:rPr>
              <w:rStyle w:val="Seitenzahl"/>
              <w:b/>
              <w:szCs w:val="22"/>
            </w:rPr>
            <w:fldChar w:fldCharType="begin"/>
          </w:r>
          <w:r>
            <w:rPr>
              <w:rStyle w:val="Seitenzahl"/>
              <w:b/>
              <w:szCs w:val="22"/>
            </w:rPr>
            <w:instrText xml:space="preserve"> NUMPAGES </w:instrText>
          </w:r>
          <w:r>
            <w:rPr>
              <w:rStyle w:val="Seitenzahl"/>
              <w:b/>
              <w:szCs w:val="22"/>
            </w:rPr>
            <w:fldChar w:fldCharType="separate"/>
          </w:r>
          <w:r>
            <w:rPr>
              <w:rStyle w:val="Seitenzahl"/>
              <w:b/>
              <w:noProof/>
              <w:szCs w:val="22"/>
            </w:rPr>
            <w:t>25</w:t>
          </w:r>
          <w:r>
            <w:rPr>
              <w:rStyle w:val="Seitenzahl"/>
              <w:b/>
              <w:szCs w:val="22"/>
            </w:rPr>
            <w:fldChar w:fldCharType="end"/>
          </w:r>
        </w:p>
        <w:p>
          <w:pPr>
            <w:pStyle w:val="Kopfzeile"/>
            <w:tabs>
              <w:tab w:val="center" w:pos="313"/>
              <w:tab w:val="right" w:pos="626"/>
            </w:tabs>
            <w:jc w:val="center"/>
          </w:pPr>
        </w:p>
      </w:tc>
    </w:tr>
    <w:tr>
      <w:trPr>
        <w:cantSplit/>
        <w:trHeight w:val="408"/>
      </w:trPr>
      <w:tc>
        <w:tcPr>
          <w:tcW w:w="2408" w:type="dxa"/>
          <w:vMerge/>
          <w:tcBorders>
            <w:top w:val="single" w:sz="6" w:space="0" w:color="auto"/>
            <w:left w:val="single" w:sz="6" w:space="0" w:color="auto"/>
            <w:bottom w:val="single" w:sz="6" w:space="0" w:color="auto"/>
            <w:right w:val="single" w:sz="6" w:space="0" w:color="auto"/>
          </w:tcBorders>
          <w:vAlign w:val="center"/>
          <w:hideMark/>
        </w:tcPr>
        <w:p/>
      </w:tc>
      <w:tc>
        <w:tcPr>
          <w:tcW w:w="5530" w:type="dxa"/>
          <w:tcBorders>
            <w:top w:val="single" w:sz="6" w:space="0" w:color="auto"/>
            <w:left w:val="single" w:sz="6" w:space="0" w:color="auto"/>
            <w:bottom w:val="single" w:sz="6" w:space="0" w:color="auto"/>
            <w:right w:val="single" w:sz="6" w:space="0" w:color="auto"/>
          </w:tcBorders>
          <w:vAlign w:val="center"/>
          <w:hideMark/>
        </w:tcPr>
        <w:p>
          <w:pPr>
            <w:pStyle w:val="Kopfzeile"/>
            <w:jc w:val="center"/>
            <w:rPr>
              <w:szCs w:val="22"/>
            </w:rPr>
          </w:pPr>
          <w:r>
            <w:rPr>
              <w:szCs w:val="22"/>
            </w:rPr>
            <w:t>Vergabe- und Vertragsunterlagen</w:t>
          </w:r>
        </w:p>
      </w:tc>
      <w:tc>
        <w:tcPr>
          <w:tcW w:w="1701" w:type="dxa"/>
          <w:vMerge/>
          <w:tcBorders>
            <w:top w:val="single" w:sz="6" w:space="0" w:color="auto"/>
            <w:left w:val="single" w:sz="6" w:space="0" w:color="auto"/>
            <w:bottom w:val="single" w:sz="6" w:space="0" w:color="auto"/>
            <w:right w:val="single" w:sz="6" w:space="0" w:color="auto"/>
          </w:tcBorders>
          <w:vAlign w:val="center"/>
          <w:hideMark/>
        </w:tcPr>
        <w:p/>
      </w:tc>
    </w:tr>
    <w:tr>
      <w:trPr>
        <w:cantSplit/>
        <w:trHeight w:val="414"/>
      </w:trPr>
      <w:tc>
        <w:tcPr>
          <w:tcW w:w="2408" w:type="dxa"/>
          <w:vMerge/>
          <w:tcBorders>
            <w:top w:val="single" w:sz="6" w:space="0" w:color="auto"/>
            <w:left w:val="single" w:sz="6" w:space="0" w:color="auto"/>
            <w:bottom w:val="single" w:sz="6" w:space="0" w:color="auto"/>
            <w:right w:val="single" w:sz="6" w:space="0" w:color="auto"/>
          </w:tcBorders>
          <w:vAlign w:val="center"/>
          <w:hideMark/>
        </w:tcPr>
        <w:p/>
      </w:tc>
      <w:tc>
        <w:tcPr>
          <w:tcW w:w="5530" w:type="dxa"/>
          <w:tcBorders>
            <w:top w:val="single" w:sz="6" w:space="0" w:color="auto"/>
            <w:left w:val="single" w:sz="6" w:space="0" w:color="auto"/>
            <w:bottom w:val="single" w:sz="6" w:space="0" w:color="auto"/>
            <w:right w:val="single" w:sz="6" w:space="0" w:color="auto"/>
          </w:tcBorders>
          <w:vAlign w:val="center"/>
          <w:hideMark/>
        </w:tcPr>
        <w:p>
          <w:pPr>
            <w:pStyle w:val="Kopfzeile"/>
            <w:jc w:val="center"/>
            <w:rPr>
              <w:szCs w:val="22"/>
            </w:rPr>
          </w:pPr>
          <w:r>
            <w:rPr>
              <w:szCs w:val="22"/>
            </w:rPr>
            <w:t>Vergabenummer: 2026 / 247</w:t>
          </w:r>
        </w:p>
      </w:tc>
      <w:tc>
        <w:tcPr>
          <w:tcW w:w="1701" w:type="dxa"/>
          <w:vMerge/>
          <w:tcBorders>
            <w:top w:val="single" w:sz="6" w:space="0" w:color="auto"/>
            <w:left w:val="single" w:sz="6" w:space="0" w:color="auto"/>
            <w:bottom w:val="single" w:sz="6" w:space="0" w:color="auto"/>
            <w:right w:val="single" w:sz="6" w:space="0" w:color="auto"/>
          </w:tcBorders>
          <w:vAlign w:val="center"/>
          <w:hideMark/>
        </w:tcPr>
        <w:p/>
      </w:tc>
    </w:tr>
  </w:tbl>
  <w:p>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7" w:type="dxa"/>
      <w:tblBorders>
        <w:bottom w:val="single" w:sz="4" w:space="0" w:color="auto"/>
        <w:insideH w:val="single" w:sz="4" w:space="0" w:color="auto"/>
      </w:tblBorders>
      <w:tblLook w:val="04A0" w:firstRow="1" w:lastRow="0" w:firstColumn="1" w:lastColumn="0" w:noHBand="0" w:noVBand="1"/>
    </w:tblPr>
    <w:tblGrid>
      <w:gridCol w:w="5637"/>
      <w:gridCol w:w="4110"/>
    </w:tblGrid>
    <w:tr>
      <w:trPr>
        <w:trHeight w:val="990"/>
      </w:trPr>
      <w:tc>
        <w:tcPr>
          <w:tcW w:w="5637" w:type="dxa"/>
          <w:shd w:val="clear" w:color="auto" w:fill="auto"/>
        </w:tcPr>
        <w:p>
          <w:pPr>
            <w:pStyle w:val="Kopfzeile"/>
          </w:pPr>
          <w:r>
            <w:br/>
          </w:r>
          <w:r>
            <w:br/>
            <w:t>Stadtverwaltung Ludwigshafen am Rhein</w:t>
          </w:r>
          <w:r>
            <w:br/>
          </w:r>
        </w:p>
      </w:tc>
      <w:tc>
        <w:tcPr>
          <w:tcW w:w="4110" w:type="dxa"/>
          <w:shd w:val="clear" w:color="auto" w:fill="auto"/>
        </w:tcPr>
        <w:p>
          <w:pPr>
            <w:pStyle w:val="Kopfzeile"/>
          </w:pPr>
          <w:r>
            <w:rPr>
              <w:noProof/>
              <w:lang w:eastAsia="de-DE"/>
            </w:rPr>
            <w:drawing>
              <wp:anchor distT="0" distB="0" distL="114300" distR="114300" simplePos="0" relativeHeight="251658240" behindDoc="1" locked="0" layoutInCell="1" allowOverlap="1">
                <wp:simplePos x="0" y="0"/>
                <wp:positionH relativeFrom="column">
                  <wp:posOffset>546735</wp:posOffset>
                </wp:positionH>
                <wp:positionV relativeFrom="paragraph">
                  <wp:posOffset>-130175</wp:posOffset>
                </wp:positionV>
                <wp:extent cx="1871345" cy="914400"/>
                <wp:effectExtent l="0" t="0" r="0" b="0"/>
                <wp:wrapNone/>
                <wp:docPr id="2" name="Grafik 2" descr="Beschreibung: LU_Logo_Wortmarke_sw_14cm_fr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Beschreibung: LU_Logo_Wortmarke_sw_14cm_frei"/>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7134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tc>
    </w:tr>
  </w:tbl>
  <w:p>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622A3BF0"/>
    <w:lvl w:ilvl="0">
      <w:start w:val="1"/>
      <w:numFmt w:val="decimal"/>
      <w:pStyle w:val="berschrift1"/>
      <w:lvlText w:val="%1"/>
      <w:lvlJc w:val="left"/>
      <w:pPr>
        <w:tabs>
          <w:tab w:val="num" w:pos="1134"/>
        </w:tabs>
        <w:ind w:left="1134" w:hanging="1134"/>
      </w:pPr>
      <w:rPr>
        <w:rFonts w:hint="default"/>
      </w:rPr>
    </w:lvl>
    <w:lvl w:ilvl="1">
      <w:start w:val="1"/>
      <w:numFmt w:val="decimal"/>
      <w:pStyle w:val="berschrift2"/>
      <w:lvlText w:val="%1.%2"/>
      <w:lvlJc w:val="left"/>
      <w:pPr>
        <w:tabs>
          <w:tab w:val="num" w:pos="1702"/>
        </w:tabs>
        <w:ind w:left="1702" w:hanging="1134"/>
      </w:pPr>
      <w:rPr>
        <w:rFonts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berschrift3"/>
      <w:lvlText w:val="%1.%2.%3"/>
      <w:lvlJc w:val="left"/>
      <w:pPr>
        <w:tabs>
          <w:tab w:val="num" w:pos="2982"/>
        </w:tabs>
        <w:ind w:left="2556" w:hanging="708"/>
      </w:pPr>
      <w:rPr>
        <w:rFonts w:hint="default"/>
      </w:rPr>
    </w:lvl>
    <w:lvl w:ilvl="3">
      <w:start w:val="1"/>
      <w:numFmt w:val="decimal"/>
      <w:pStyle w:val="berschrift4"/>
      <w:lvlText w:val="%1.%2.%3.%4"/>
      <w:lvlJc w:val="left"/>
      <w:pPr>
        <w:tabs>
          <w:tab w:val="num" w:pos="2127"/>
        </w:tabs>
        <w:ind w:left="2127" w:hanging="1134"/>
      </w:pPr>
      <w:rPr>
        <w:rFonts w:hint="default"/>
      </w:rPr>
    </w:lvl>
    <w:lvl w:ilvl="4">
      <w:start w:val="1"/>
      <w:numFmt w:val="decimal"/>
      <w:pStyle w:val="berschrift5"/>
      <w:lvlText w:val="%1.%2.%3.%4.%5"/>
      <w:lvlJc w:val="left"/>
      <w:pPr>
        <w:tabs>
          <w:tab w:val="num" w:pos="1440"/>
        </w:tabs>
        <w:ind w:left="1134" w:hanging="1134"/>
      </w:pPr>
      <w:rPr>
        <w:rFonts w:hint="default"/>
      </w:rPr>
    </w:lvl>
    <w:lvl w:ilvl="5">
      <w:start w:val="1"/>
      <w:numFmt w:val="decimal"/>
      <w:pStyle w:val="berschrift6"/>
      <w:lvlText w:val="%1.%2.%3.%4.%5.%6"/>
      <w:lvlJc w:val="left"/>
      <w:pPr>
        <w:tabs>
          <w:tab w:val="num" w:pos="1800"/>
        </w:tabs>
        <w:ind w:left="1134" w:hanging="1134"/>
      </w:pPr>
      <w:rPr>
        <w:rFonts w:hint="default"/>
      </w:rPr>
    </w:lvl>
    <w:lvl w:ilvl="6">
      <w:start w:val="1"/>
      <w:numFmt w:val="decimal"/>
      <w:pStyle w:val="berschrift7"/>
      <w:lvlText w:val="%1.%2.%3.%4.%5.%6.%7"/>
      <w:lvlJc w:val="left"/>
      <w:pPr>
        <w:tabs>
          <w:tab w:val="num" w:pos="0"/>
        </w:tabs>
        <w:ind w:left="0" w:firstLine="0"/>
      </w:pPr>
      <w:rPr>
        <w:rFonts w:hint="default"/>
      </w:rPr>
    </w:lvl>
    <w:lvl w:ilvl="7">
      <w:start w:val="1"/>
      <w:numFmt w:val="decimal"/>
      <w:pStyle w:val="berschrift8"/>
      <w:lvlText w:val="%1.%2.%3.%4.%5.%6.%7.%8"/>
      <w:lvlJc w:val="left"/>
      <w:pPr>
        <w:tabs>
          <w:tab w:val="num" w:pos="0"/>
        </w:tabs>
        <w:ind w:left="0" w:firstLine="0"/>
      </w:pPr>
      <w:rPr>
        <w:rFonts w:hint="default"/>
      </w:rPr>
    </w:lvl>
    <w:lvl w:ilvl="8">
      <w:start w:val="1"/>
      <w:numFmt w:val="decimal"/>
      <w:pStyle w:val="berschrift9"/>
      <w:lvlText w:val="%1.%2.%3.%4.%5.%6.%7.%8.%9"/>
      <w:lvlJc w:val="left"/>
      <w:pPr>
        <w:tabs>
          <w:tab w:val="num" w:pos="0"/>
        </w:tabs>
        <w:ind w:left="0" w:firstLine="0"/>
      </w:pPr>
      <w:rPr>
        <w:rFonts w:hint="default"/>
      </w:rPr>
    </w:lvl>
  </w:abstractNum>
  <w:abstractNum w:abstractNumId="1" w15:restartNumberingAfterBreak="0">
    <w:nsid w:val="FFFFFFFE"/>
    <w:multiLevelType w:val="singleLevel"/>
    <w:tmpl w:val="35C884DC"/>
    <w:lvl w:ilvl="0">
      <w:numFmt w:val="decimal"/>
      <w:pStyle w:val="Liste1"/>
      <w:lvlText w:val="*"/>
      <w:lvlJc w:val="left"/>
    </w:lvl>
  </w:abstractNum>
  <w:abstractNum w:abstractNumId="2" w15:restartNumberingAfterBreak="0">
    <w:nsid w:val="026C282B"/>
    <w:multiLevelType w:val="hybridMultilevel"/>
    <w:tmpl w:val="FA147D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46E177F"/>
    <w:multiLevelType w:val="hybridMultilevel"/>
    <w:tmpl w:val="04687B42"/>
    <w:lvl w:ilvl="0" w:tplc="04070001">
      <w:start w:val="1"/>
      <w:numFmt w:val="bullet"/>
      <w:pStyle w:val="Aufzhlung2"/>
      <w:lvlText w:val=""/>
      <w:lvlJc w:val="left"/>
      <w:pPr>
        <w:tabs>
          <w:tab w:val="num" w:pos="1209"/>
        </w:tabs>
        <w:ind w:left="1209" w:hanging="360"/>
      </w:pPr>
      <w:rPr>
        <w:rFonts w:ascii="Symbol" w:hAnsi="Symbol" w:hint="default"/>
        <w:color w:val="auto"/>
      </w:rPr>
    </w:lvl>
    <w:lvl w:ilvl="1" w:tplc="04070003">
      <w:start w:val="1"/>
      <w:numFmt w:val="bullet"/>
      <w:pStyle w:val="Aufzhlung3"/>
      <w:lvlText w:val=""/>
      <w:lvlJc w:val="left"/>
      <w:pPr>
        <w:tabs>
          <w:tab w:val="num" w:pos="1440"/>
        </w:tabs>
        <w:ind w:left="1440" w:hanging="360"/>
      </w:pPr>
      <w:rPr>
        <w:rFonts w:ascii="Symbol" w:hAnsi="Symbol" w:hint="default"/>
        <w:color w:val="auto"/>
      </w:rPr>
    </w:lvl>
    <w:lvl w:ilvl="2" w:tplc="04070005">
      <w:start w:val="1"/>
      <w:numFmt w:val="bullet"/>
      <w:pStyle w:val="Aufzhlung4"/>
      <w:lvlText w:val=""/>
      <w:lvlJc w:val="left"/>
      <w:pPr>
        <w:tabs>
          <w:tab w:val="num" w:pos="2160"/>
        </w:tabs>
        <w:ind w:left="2160" w:hanging="360"/>
      </w:pPr>
      <w:rPr>
        <w:rFonts w:ascii="Symbol" w:hAnsi="Symbol" w:hint="default"/>
        <w:color w:val="auto"/>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A63BC4"/>
    <w:multiLevelType w:val="hybridMultilevel"/>
    <w:tmpl w:val="2A148492"/>
    <w:lvl w:ilvl="0" w:tplc="3DF6747A">
      <w:start w:val="1"/>
      <w:numFmt w:val="bullet"/>
      <w:lvlText w:val=""/>
      <w:lvlJc w:val="left"/>
      <w:pPr>
        <w:ind w:left="1854" w:hanging="360"/>
      </w:pPr>
      <w:rPr>
        <w:rFonts w:ascii="Wingdings" w:hAnsi="Wingdings" w:hint="default"/>
      </w:rPr>
    </w:lvl>
    <w:lvl w:ilvl="1" w:tplc="04070003">
      <w:start w:val="1"/>
      <w:numFmt w:val="bullet"/>
      <w:lvlText w:val="o"/>
      <w:lvlJc w:val="left"/>
      <w:pPr>
        <w:ind w:left="2574" w:hanging="360"/>
      </w:pPr>
      <w:rPr>
        <w:rFonts w:ascii="Courier New" w:hAnsi="Courier New" w:cs="Courier New" w:hint="default"/>
      </w:rPr>
    </w:lvl>
    <w:lvl w:ilvl="2" w:tplc="04070005">
      <w:start w:val="1"/>
      <w:numFmt w:val="bullet"/>
      <w:lvlText w:val=""/>
      <w:lvlJc w:val="left"/>
      <w:pPr>
        <w:ind w:left="3294" w:hanging="360"/>
      </w:pPr>
      <w:rPr>
        <w:rFonts w:ascii="Wingdings" w:hAnsi="Wingdings" w:hint="default"/>
      </w:rPr>
    </w:lvl>
    <w:lvl w:ilvl="3" w:tplc="04070001">
      <w:start w:val="1"/>
      <w:numFmt w:val="bullet"/>
      <w:lvlText w:val=""/>
      <w:lvlJc w:val="left"/>
      <w:pPr>
        <w:ind w:left="4014" w:hanging="360"/>
      </w:pPr>
      <w:rPr>
        <w:rFonts w:ascii="Symbol" w:hAnsi="Symbol" w:hint="default"/>
      </w:rPr>
    </w:lvl>
    <w:lvl w:ilvl="4" w:tplc="04070003">
      <w:start w:val="1"/>
      <w:numFmt w:val="bullet"/>
      <w:lvlText w:val="o"/>
      <w:lvlJc w:val="left"/>
      <w:pPr>
        <w:ind w:left="4734" w:hanging="360"/>
      </w:pPr>
      <w:rPr>
        <w:rFonts w:ascii="Courier New" w:hAnsi="Courier New" w:cs="Courier New" w:hint="default"/>
      </w:rPr>
    </w:lvl>
    <w:lvl w:ilvl="5" w:tplc="04070005">
      <w:start w:val="1"/>
      <w:numFmt w:val="bullet"/>
      <w:lvlText w:val=""/>
      <w:lvlJc w:val="left"/>
      <w:pPr>
        <w:ind w:left="5454" w:hanging="360"/>
      </w:pPr>
      <w:rPr>
        <w:rFonts w:ascii="Wingdings" w:hAnsi="Wingdings" w:hint="default"/>
      </w:rPr>
    </w:lvl>
    <w:lvl w:ilvl="6" w:tplc="04070001">
      <w:start w:val="1"/>
      <w:numFmt w:val="bullet"/>
      <w:lvlText w:val=""/>
      <w:lvlJc w:val="left"/>
      <w:pPr>
        <w:ind w:left="6174" w:hanging="360"/>
      </w:pPr>
      <w:rPr>
        <w:rFonts w:ascii="Symbol" w:hAnsi="Symbol" w:hint="default"/>
      </w:rPr>
    </w:lvl>
    <w:lvl w:ilvl="7" w:tplc="04070003">
      <w:start w:val="1"/>
      <w:numFmt w:val="bullet"/>
      <w:lvlText w:val="o"/>
      <w:lvlJc w:val="left"/>
      <w:pPr>
        <w:ind w:left="6894" w:hanging="360"/>
      </w:pPr>
      <w:rPr>
        <w:rFonts w:ascii="Courier New" w:hAnsi="Courier New" w:cs="Courier New" w:hint="default"/>
      </w:rPr>
    </w:lvl>
    <w:lvl w:ilvl="8" w:tplc="04070005">
      <w:start w:val="1"/>
      <w:numFmt w:val="bullet"/>
      <w:lvlText w:val=""/>
      <w:lvlJc w:val="left"/>
      <w:pPr>
        <w:ind w:left="7614" w:hanging="360"/>
      </w:pPr>
      <w:rPr>
        <w:rFonts w:ascii="Wingdings" w:hAnsi="Wingdings" w:hint="default"/>
      </w:rPr>
    </w:lvl>
  </w:abstractNum>
  <w:abstractNum w:abstractNumId="5" w15:restartNumberingAfterBreak="0">
    <w:nsid w:val="1329473E"/>
    <w:multiLevelType w:val="hybridMultilevel"/>
    <w:tmpl w:val="A6D6E3F2"/>
    <w:lvl w:ilvl="0" w:tplc="04070001">
      <w:start w:val="1"/>
      <w:numFmt w:val="bullet"/>
      <w:lvlText w:val=""/>
      <w:lvlJc w:val="left"/>
      <w:pPr>
        <w:ind w:left="2280" w:hanging="360"/>
      </w:pPr>
      <w:rPr>
        <w:rFonts w:ascii="Symbol" w:hAnsi="Symbol" w:hint="default"/>
      </w:rPr>
    </w:lvl>
    <w:lvl w:ilvl="1" w:tplc="04070003" w:tentative="1">
      <w:start w:val="1"/>
      <w:numFmt w:val="bullet"/>
      <w:lvlText w:val="o"/>
      <w:lvlJc w:val="left"/>
      <w:pPr>
        <w:ind w:left="3000" w:hanging="360"/>
      </w:pPr>
      <w:rPr>
        <w:rFonts w:ascii="Courier New" w:hAnsi="Courier New" w:cs="Courier New" w:hint="default"/>
      </w:rPr>
    </w:lvl>
    <w:lvl w:ilvl="2" w:tplc="04070005" w:tentative="1">
      <w:start w:val="1"/>
      <w:numFmt w:val="bullet"/>
      <w:lvlText w:val=""/>
      <w:lvlJc w:val="left"/>
      <w:pPr>
        <w:ind w:left="3720" w:hanging="360"/>
      </w:pPr>
      <w:rPr>
        <w:rFonts w:ascii="Wingdings" w:hAnsi="Wingdings" w:hint="default"/>
      </w:rPr>
    </w:lvl>
    <w:lvl w:ilvl="3" w:tplc="04070001" w:tentative="1">
      <w:start w:val="1"/>
      <w:numFmt w:val="bullet"/>
      <w:lvlText w:val=""/>
      <w:lvlJc w:val="left"/>
      <w:pPr>
        <w:ind w:left="4440" w:hanging="360"/>
      </w:pPr>
      <w:rPr>
        <w:rFonts w:ascii="Symbol" w:hAnsi="Symbol" w:hint="default"/>
      </w:rPr>
    </w:lvl>
    <w:lvl w:ilvl="4" w:tplc="04070003" w:tentative="1">
      <w:start w:val="1"/>
      <w:numFmt w:val="bullet"/>
      <w:lvlText w:val="o"/>
      <w:lvlJc w:val="left"/>
      <w:pPr>
        <w:ind w:left="5160" w:hanging="360"/>
      </w:pPr>
      <w:rPr>
        <w:rFonts w:ascii="Courier New" w:hAnsi="Courier New" w:cs="Courier New" w:hint="default"/>
      </w:rPr>
    </w:lvl>
    <w:lvl w:ilvl="5" w:tplc="04070005" w:tentative="1">
      <w:start w:val="1"/>
      <w:numFmt w:val="bullet"/>
      <w:lvlText w:val=""/>
      <w:lvlJc w:val="left"/>
      <w:pPr>
        <w:ind w:left="5880" w:hanging="360"/>
      </w:pPr>
      <w:rPr>
        <w:rFonts w:ascii="Wingdings" w:hAnsi="Wingdings" w:hint="default"/>
      </w:rPr>
    </w:lvl>
    <w:lvl w:ilvl="6" w:tplc="04070001" w:tentative="1">
      <w:start w:val="1"/>
      <w:numFmt w:val="bullet"/>
      <w:lvlText w:val=""/>
      <w:lvlJc w:val="left"/>
      <w:pPr>
        <w:ind w:left="6600" w:hanging="360"/>
      </w:pPr>
      <w:rPr>
        <w:rFonts w:ascii="Symbol" w:hAnsi="Symbol" w:hint="default"/>
      </w:rPr>
    </w:lvl>
    <w:lvl w:ilvl="7" w:tplc="04070003" w:tentative="1">
      <w:start w:val="1"/>
      <w:numFmt w:val="bullet"/>
      <w:lvlText w:val="o"/>
      <w:lvlJc w:val="left"/>
      <w:pPr>
        <w:ind w:left="7320" w:hanging="360"/>
      </w:pPr>
      <w:rPr>
        <w:rFonts w:ascii="Courier New" w:hAnsi="Courier New" w:cs="Courier New" w:hint="default"/>
      </w:rPr>
    </w:lvl>
    <w:lvl w:ilvl="8" w:tplc="04070005" w:tentative="1">
      <w:start w:val="1"/>
      <w:numFmt w:val="bullet"/>
      <w:lvlText w:val=""/>
      <w:lvlJc w:val="left"/>
      <w:pPr>
        <w:ind w:left="8040" w:hanging="360"/>
      </w:pPr>
      <w:rPr>
        <w:rFonts w:ascii="Wingdings" w:hAnsi="Wingdings" w:hint="default"/>
      </w:rPr>
    </w:lvl>
  </w:abstractNum>
  <w:abstractNum w:abstractNumId="6" w15:restartNumberingAfterBreak="0">
    <w:nsid w:val="16DA6371"/>
    <w:multiLevelType w:val="singleLevel"/>
    <w:tmpl w:val="697E95FA"/>
    <w:lvl w:ilvl="0">
      <w:start w:val="1"/>
      <w:numFmt w:val="bullet"/>
      <w:pStyle w:val="Bullet1"/>
      <w:lvlText w:val="-"/>
      <w:lvlJc w:val="left"/>
      <w:pPr>
        <w:tabs>
          <w:tab w:val="num" w:pos="360"/>
        </w:tabs>
        <w:ind w:left="284" w:hanging="284"/>
      </w:pPr>
      <w:rPr>
        <w:sz w:val="16"/>
      </w:rPr>
    </w:lvl>
  </w:abstractNum>
  <w:abstractNum w:abstractNumId="7" w15:restartNumberingAfterBreak="0">
    <w:nsid w:val="1A89379C"/>
    <w:multiLevelType w:val="hybridMultilevel"/>
    <w:tmpl w:val="98BA9CE4"/>
    <w:lvl w:ilvl="0" w:tplc="04070001">
      <w:start w:val="1"/>
      <w:numFmt w:val="bullet"/>
      <w:lvlText w:val=""/>
      <w:lvlJc w:val="left"/>
      <w:pPr>
        <w:ind w:left="2160" w:hanging="360"/>
      </w:pPr>
      <w:rPr>
        <w:rFonts w:ascii="Symbol" w:hAnsi="Symbol" w:hint="default"/>
      </w:rPr>
    </w:lvl>
    <w:lvl w:ilvl="1" w:tplc="04070003" w:tentative="1">
      <w:start w:val="1"/>
      <w:numFmt w:val="bullet"/>
      <w:lvlText w:val="o"/>
      <w:lvlJc w:val="left"/>
      <w:pPr>
        <w:ind w:left="2880" w:hanging="360"/>
      </w:pPr>
      <w:rPr>
        <w:rFonts w:ascii="Courier New" w:hAnsi="Courier New" w:cs="Courier New" w:hint="default"/>
      </w:rPr>
    </w:lvl>
    <w:lvl w:ilvl="2" w:tplc="04070005" w:tentative="1">
      <w:start w:val="1"/>
      <w:numFmt w:val="bullet"/>
      <w:lvlText w:val=""/>
      <w:lvlJc w:val="left"/>
      <w:pPr>
        <w:ind w:left="3600" w:hanging="360"/>
      </w:pPr>
      <w:rPr>
        <w:rFonts w:ascii="Wingdings" w:hAnsi="Wingdings" w:hint="default"/>
      </w:rPr>
    </w:lvl>
    <w:lvl w:ilvl="3" w:tplc="04070001" w:tentative="1">
      <w:start w:val="1"/>
      <w:numFmt w:val="bullet"/>
      <w:lvlText w:val=""/>
      <w:lvlJc w:val="left"/>
      <w:pPr>
        <w:ind w:left="4320" w:hanging="360"/>
      </w:pPr>
      <w:rPr>
        <w:rFonts w:ascii="Symbol" w:hAnsi="Symbol" w:hint="default"/>
      </w:rPr>
    </w:lvl>
    <w:lvl w:ilvl="4" w:tplc="04070003" w:tentative="1">
      <w:start w:val="1"/>
      <w:numFmt w:val="bullet"/>
      <w:lvlText w:val="o"/>
      <w:lvlJc w:val="left"/>
      <w:pPr>
        <w:ind w:left="5040" w:hanging="360"/>
      </w:pPr>
      <w:rPr>
        <w:rFonts w:ascii="Courier New" w:hAnsi="Courier New" w:cs="Courier New" w:hint="default"/>
      </w:rPr>
    </w:lvl>
    <w:lvl w:ilvl="5" w:tplc="04070005" w:tentative="1">
      <w:start w:val="1"/>
      <w:numFmt w:val="bullet"/>
      <w:lvlText w:val=""/>
      <w:lvlJc w:val="left"/>
      <w:pPr>
        <w:ind w:left="5760" w:hanging="360"/>
      </w:pPr>
      <w:rPr>
        <w:rFonts w:ascii="Wingdings" w:hAnsi="Wingdings" w:hint="default"/>
      </w:rPr>
    </w:lvl>
    <w:lvl w:ilvl="6" w:tplc="04070001" w:tentative="1">
      <w:start w:val="1"/>
      <w:numFmt w:val="bullet"/>
      <w:lvlText w:val=""/>
      <w:lvlJc w:val="left"/>
      <w:pPr>
        <w:ind w:left="6480" w:hanging="360"/>
      </w:pPr>
      <w:rPr>
        <w:rFonts w:ascii="Symbol" w:hAnsi="Symbol" w:hint="default"/>
      </w:rPr>
    </w:lvl>
    <w:lvl w:ilvl="7" w:tplc="04070003" w:tentative="1">
      <w:start w:val="1"/>
      <w:numFmt w:val="bullet"/>
      <w:lvlText w:val="o"/>
      <w:lvlJc w:val="left"/>
      <w:pPr>
        <w:ind w:left="7200" w:hanging="360"/>
      </w:pPr>
      <w:rPr>
        <w:rFonts w:ascii="Courier New" w:hAnsi="Courier New" w:cs="Courier New" w:hint="default"/>
      </w:rPr>
    </w:lvl>
    <w:lvl w:ilvl="8" w:tplc="04070005" w:tentative="1">
      <w:start w:val="1"/>
      <w:numFmt w:val="bullet"/>
      <w:lvlText w:val=""/>
      <w:lvlJc w:val="left"/>
      <w:pPr>
        <w:ind w:left="7920" w:hanging="360"/>
      </w:pPr>
      <w:rPr>
        <w:rFonts w:ascii="Wingdings" w:hAnsi="Wingdings" w:hint="default"/>
      </w:rPr>
    </w:lvl>
  </w:abstractNum>
  <w:abstractNum w:abstractNumId="8" w15:restartNumberingAfterBreak="0">
    <w:nsid w:val="1D020BCD"/>
    <w:multiLevelType w:val="hybridMultilevel"/>
    <w:tmpl w:val="0E309B66"/>
    <w:lvl w:ilvl="0" w:tplc="696E2112">
      <w:start w:val="1"/>
      <w:numFmt w:val="bullet"/>
      <w:lvlText w:val=""/>
      <w:lvlJc w:val="left"/>
      <w:pPr>
        <w:tabs>
          <w:tab w:val="num" w:pos="1209"/>
        </w:tabs>
        <w:ind w:left="1209" w:hanging="360"/>
      </w:pPr>
      <w:rPr>
        <w:rFonts w:ascii="Symbol" w:hAnsi="Symbol" w:hint="default"/>
        <w:color w:val="auto"/>
      </w:rPr>
    </w:lvl>
    <w:lvl w:ilvl="1" w:tplc="04070003">
      <w:start w:val="1"/>
      <w:numFmt w:val="bullet"/>
      <w:pStyle w:val="Aufzhlung5"/>
      <w:lvlText w:val=""/>
      <w:lvlJc w:val="left"/>
      <w:pPr>
        <w:tabs>
          <w:tab w:val="num" w:pos="1440"/>
        </w:tabs>
        <w:ind w:left="1440" w:hanging="360"/>
      </w:pPr>
      <w:rPr>
        <w:rFonts w:ascii="Symbol" w:hAnsi="Symbol" w:hint="default"/>
        <w:color w:val="auto"/>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5509D9"/>
    <w:multiLevelType w:val="hybridMultilevel"/>
    <w:tmpl w:val="151AE504"/>
    <w:lvl w:ilvl="0" w:tplc="04070001">
      <w:start w:val="1"/>
      <w:numFmt w:val="bullet"/>
      <w:lvlText w:val=""/>
      <w:lvlJc w:val="left"/>
      <w:pPr>
        <w:ind w:left="1069" w:hanging="360"/>
      </w:pPr>
      <w:rPr>
        <w:rFonts w:ascii="Symbol" w:hAnsi="Symbol" w:hint="default"/>
      </w:rPr>
    </w:lvl>
    <w:lvl w:ilvl="1" w:tplc="04070003">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0" w15:restartNumberingAfterBreak="0">
    <w:nsid w:val="27C62346"/>
    <w:multiLevelType w:val="hybridMultilevel"/>
    <w:tmpl w:val="E662E0BA"/>
    <w:lvl w:ilvl="0" w:tplc="04070001">
      <w:start w:val="1"/>
      <w:numFmt w:val="bullet"/>
      <w:pStyle w:val="Tab-TextAufzhlung"/>
      <w:lvlText w:val=""/>
      <w:lvlJc w:val="left"/>
      <w:pPr>
        <w:tabs>
          <w:tab w:val="num" w:pos="1209"/>
        </w:tabs>
        <w:ind w:left="1209"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447B9F"/>
    <w:multiLevelType w:val="hybridMultilevel"/>
    <w:tmpl w:val="8ED87F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8700B8A"/>
    <w:multiLevelType w:val="hybridMultilevel"/>
    <w:tmpl w:val="C6BA51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CAB581A"/>
    <w:multiLevelType w:val="hybridMultilevel"/>
    <w:tmpl w:val="97C6EB2E"/>
    <w:lvl w:ilvl="0" w:tplc="36BC34FC">
      <w:start w:val="1"/>
      <w:numFmt w:val="bullet"/>
      <w:pStyle w:val="Tab-TextAufzhlung2"/>
      <w:lvlText w:val=""/>
      <w:lvlJc w:val="left"/>
      <w:pPr>
        <w:tabs>
          <w:tab w:val="num" w:pos="720"/>
        </w:tabs>
        <w:ind w:left="720" w:hanging="360"/>
      </w:pPr>
      <w:rPr>
        <w:rFonts w:ascii="Symbol" w:hAnsi="Symbol" w:hint="default"/>
        <w:color w:val="auto"/>
      </w:rPr>
    </w:lvl>
    <w:lvl w:ilvl="1" w:tplc="0E5EA2DE" w:tentative="1">
      <w:start w:val="1"/>
      <w:numFmt w:val="bullet"/>
      <w:lvlText w:val="o"/>
      <w:lvlJc w:val="left"/>
      <w:pPr>
        <w:tabs>
          <w:tab w:val="num" w:pos="1440"/>
        </w:tabs>
        <w:ind w:left="1440" w:hanging="360"/>
      </w:pPr>
      <w:rPr>
        <w:rFonts w:ascii="Courier New" w:hAnsi="Courier New" w:hint="default"/>
      </w:rPr>
    </w:lvl>
    <w:lvl w:ilvl="2" w:tplc="C616C4F0" w:tentative="1">
      <w:start w:val="1"/>
      <w:numFmt w:val="bullet"/>
      <w:lvlText w:val=""/>
      <w:lvlJc w:val="left"/>
      <w:pPr>
        <w:tabs>
          <w:tab w:val="num" w:pos="2160"/>
        </w:tabs>
        <w:ind w:left="2160" w:hanging="360"/>
      </w:pPr>
      <w:rPr>
        <w:rFonts w:ascii="Wingdings" w:hAnsi="Wingdings" w:hint="default"/>
      </w:rPr>
    </w:lvl>
    <w:lvl w:ilvl="3" w:tplc="B300872C" w:tentative="1">
      <w:start w:val="1"/>
      <w:numFmt w:val="bullet"/>
      <w:lvlText w:val=""/>
      <w:lvlJc w:val="left"/>
      <w:pPr>
        <w:tabs>
          <w:tab w:val="num" w:pos="2880"/>
        </w:tabs>
        <w:ind w:left="2880" w:hanging="360"/>
      </w:pPr>
      <w:rPr>
        <w:rFonts w:ascii="Symbol" w:hAnsi="Symbol" w:hint="default"/>
      </w:rPr>
    </w:lvl>
    <w:lvl w:ilvl="4" w:tplc="1D1AB1AC" w:tentative="1">
      <w:start w:val="1"/>
      <w:numFmt w:val="bullet"/>
      <w:lvlText w:val="o"/>
      <w:lvlJc w:val="left"/>
      <w:pPr>
        <w:tabs>
          <w:tab w:val="num" w:pos="3600"/>
        </w:tabs>
        <w:ind w:left="3600" w:hanging="360"/>
      </w:pPr>
      <w:rPr>
        <w:rFonts w:ascii="Courier New" w:hAnsi="Courier New" w:hint="default"/>
      </w:rPr>
    </w:lvl>
    <w:lvl w:ilvl="5" w:tplc="CA42CC54" w:tentative="1">
      <w:start w:val="1"/>
      <w:numFmt w:val="bullet"/>
      <w:lvlText w:val=""/>
      <w:lvlJc w:val="left"/>
      <w:pPr>
        <w:tabs>
          <w:tab w:val="num" w:pos="4320"/>
        </w:tabs>
        <w:ind w:left="4320" w:hanging="360"/>
      </w:pPr>
      <w:rPr>
        <w:rFonts w:ascii="Wingdings" w:hAnsi="Wingdings" w:hint="default"/>
      </w:rPr>
    </w:lvl>
    <w:lvl w:ilvl="6" w:tplc="4B8EF366" w:tentative="1">
      <w:start w:val="1"/>
      <w:numFmt w:val="bullet"/>
      <w:lvlText w:val=""/>
      <w:lvlJc w:val="left"/>
      <w:pPr>
        <w:tabs>
          <w:tab w:val="num" w:pos="5040"/>
        </w:tabs>
        <w:ind w:left="5040" w:hanging="360"/>
      </w:pPr>
      <w:rPr>
        <w:rFonts w:ascii="Symbol" w:hAnsi="Symbol" w:hint="default"/>
      </w:rPr>
    </w:lvl>
    <w:lvl w:ilvl="7" w:tplc="4C9694FA" w:tentative="1">
      <w:start w:val="1"/>
      <w:numFmt w:val="bullet"/>
      <w:lvlText w:val="o"/>
      <w:lvlJc w:val="left"/>
      <w:pPr>
        <w:tabs>
          <w:tab w:val="num" w:pos="5760"/>
        </w:tabs>
        <w:ind w:left="5760" w:hanging="360"/>
      </w:pPr>
      <w:rPr>
        <w:rFonts w:ascii="Courier New" w:hAnsi="Courier New" w:hint="default"/>
      </w:rPr>
    </w:lvl>
    <w:lvl w:ilvl="8" w:tplc="B696176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EF631E"/>
    <w:multiLevelType w:val="hybridMultilevel"/>
    <w:tmpl w:val="0C009BB4"/>
    <w:lvl w:ilvl="0" w:tplc="89B8F606">
      <w:start w:val="3"/>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A004F3B"/>
    <w:multiLevelType w:val="hybridMultilevel"/>
    <w:tmpl w:val="1F52E948"/>
    <w:lvl w:ilvl="0" w:tplc="04070001">
      <w:start w:val="1"/>
      <w:numFmt w:val="bullet"/>
      <w:lvlText w:val=""/>
      <w:lvlJc w:val="left"/>
      <w:pPr>
        <w:ind w:left="2280" w:hanging="360"/>
      </w:pPr>
      <w:rPr>
        <w:rFonts w:ascii="Symbol" w:hAnsi="Symbol" w:hint="default"/>
      </w:rPr>
    </w:lvl>
    <w:lvl w:ilvl="1" w:tplc="04070003" w:tentative="1">
      <w:start w:val="1"/>
      <w:numFmt w:val="bullet"/>
      <w:lvlText w:val="o"/>
      <w:lvlJc w:val="left"/>
      <w:pPr>
        <w:ind w:left="3000" w:hanging="360"/>
      </w:pPr>
      <w:rPr>
        <w:rFonts w:ascii="Courier New" w:hAnsi="Courier New" w:cs="Courier New" w:hint="default"/>
      </w:rPr>
    </w:lvl>
    <w:lvl w:ilvl="2" w:tplc="04070005" w:tentative="1">
      <w:start w:val="1"/>
      <w:numFmt w:val="bullet"/>
      <w:lvlText w:val=""/>
      <w:lvlJc w:val="left"/>
      <w:pPr>
        <w:ind w:left="3720" w:hanging="360"/>
      </w:pPr>
      <w:rPr>
        <w:rFonts w:ascii="Wingdings" w:hAnsi="Wingdings" w:hint="default"/>
      </w:rPr>
    </w:lvl>
    <w:lvl w:ilvl="3" w:tplc="04070001" w:tentative="1">
      <w:start w:val="1"/>
      <w:numFmt w:val="bullet"/>
      <w:lvlText w:val=""/>
      <w:lvlJc w:val="left"/>
      <w:pPr>
        <w:ind w:left="4440" w:hanging="360"/>
      </w:pPr>
      <w:rPr>
        <w:rFonts w:ascii="Symbol" w:hAnsi="Symbol" w:hint="default"/>
      </w:rPr>
    </w:lvl>
    <w:lvl w:ilvl="4" w:tplc="04070003" w:tentative="1">
      <w:start w:val="1"/>
      <w:numFmt w:val="bullet"/>
      <w:lvlText w:val="o"/>
      <w:lvlJc w:val="left"/>
      <w:pPr>
        <w:ind w:left="5160" w:hanging="360"/>
      </w:pPr>
      <w:rPr>
        <w:rFonts w:ascii="Courier New" w:hAnsi="Courier New" w:cs="Courier New" w:hint="default"/>
      </w:rPr>
    </w:lvl>
    <w:lvl w:ilvl="5" w:tplc="04070005" w:tentative="1">
      <w:start w:val="1"/>
      <w:numFmt w:val="bullet"/>
      <w:lvlText w:val=""/>
      <w:lvlJc w:val="left"/>
      <w:pPr>
        <w:ind w:left="5880" w:hanging="360"/>
      </w:pPr>
      <w:rPr>
        <w:rFonts w:ascii="Wingdings" w:hAnsi="Wingdings" w:hint="default"/>
      </w:rPr>
    </w:lvl>
    <w:lvl w:ilvl="6" w:tplc="04070001" w:tentative="1">
      <w:start w:val="1"/>
      <w:numFmt w:val="bullet"/>
      <w:lvlText w:val=""/>
      <w:lvlJc w:val="left"/>
      <w:pPr>
        <w:ind w:left="6600" w:hanging="360"/>
      </w:pPr>
      <w:rPr>
        <w:rFonts w:ascii="Symbol" w:hAnsi="Symbol" w:hint="default"/>
      </w:rPr>
    </w:lvl>
    <w:lvl w:ilvl="7" w:tplc="04070003" w:tentative="1">
      <w:start w:val="1"/>
      <w:numFmt w:val="bullet"/>
      <w:lvlText w:val="o"/>
      <w:lvlJc w:val="left"/>
      <w:pPr>
        <w:ind w:left="7320" w:hanging="360"/>
      </w:pPr>
      <w:rPr>
        <w:rFonts w:ascii="Courier New" w:hAnsi="Courier New" w:cs="Courier New" w:hint="default"/>
      </w:rPr>
    </w:lvl>
    <w:lvl w:ilvl="8" w:tplc="04070005" w:tentative="1">
      <w:start w:val="1"/>
      <w:numFmt w:val="bullet"/>
      <w:lvlText w:val=""/>
      <w:lvlJc w:val="left"/>
      <w:pPr>
        <w:ind w:left="8040" w:hanging="360"/>
      </w:pPr>
      <w:rPr>
        <w:rFonts w:ascii="Wingdings" w:hAnsi="Wingdings" w:hint="default"/>
      </w:rPr>
    </w:lvl>
  </w:abstractNum>
  <w:abstractNum w:abstractNumId="16" w15:restartNumberingAfterBreak="0">
    <w:nsid w:val="3AB747F9"/>
    <w:multiLevelType w:val="hybridMultilevel"/>
    <w:tmpl w:val="F9B433DC"/>
    <w:lvl w:ilvl="0" w:tplc="2F1A630E">
      <w:start w:val="1"/>
      <w:numFmt w:val="bullet"/>
      <w:pStyle w:val="Aufzhlung1"/>
      <w:lvlText w:val=""/>
      <w:lvlJc w:val="left"/>
      <w:pPr>
        <w:tabs>
          <w:tab w:val="num" w:pos="1494"/>
        </w:tabs>
        <w:ind w:left="1494" w:hanging="360"/>
      </w:pPr>
      <w:rPr>
        <w:rFonts w:ascii="Symbol" w:hAnsi="Symbol" w:hint="default"/>
      </w:rPr>
    </w:lvl>
    <w:lvl w:ilvl="1" w:tplc="04070003">
      <w:start w:val="1"/>
      <w:numFmt w:val="bullet"/>
      <w:pStyle w:val="Unterpunkt"/>
      <w:lvlText w:val=""/>
      <w:lvlJc w:val="left"/>
      <w:pPr>
        <w:tabs>
          <w:tab w:val="num" w:pos="2214"/>
        </w:tabs>
        <w:ind w:left="2214" w:hanging="360"/>
      </w:pPr>
      <w:rPr>
        <w:rFonts w:ascii="Symbol" w:hAnsi="Symbol" w:hint="default"/>
        <w:color w:val="auto"/>
      </w:rPr>
    </w:lvl>
    <w:lvl w:ilvl="2" w:tplc="04070005" w:tentative="1">
      <w:start w:val="1"/>
      <w:numFmt w:val="bullet"/>
      <w:lvlText w:val=""/>
      <w:lvlJc w:val="left"/>
      <w:pPr>
        <w:tabs>
          <w:tab w:val="num" w:pos="2934"/>
        </w:tabs>
        <w:ind w:left="2934" w:hanging="360"/>
      </w:pPr>
      <w:rPr>
        <w:rFonts w:ascii="Wingdings" w:hAnsi="Wingdings" w:hint="default"/>
      </w:rPr>
    </w:lvl>
    <w:lvl w:ilvl="3" w:tplc="04070001" w:tentative="1">
      <w:start w:val="1"/>
      <w:numFmt w:val="bullet"/>
      <w:lvlText w:val=""/>
      <w:lvlJc w:val="left"/>
      <w:pPr>
        <w:tabs>
          <w:tab w:val="num" w:pos="3654"/>
        </w:tabs>
        <w:ind w:left="3654" w:hanging="360"/>
      </w:pPr>
      <w:rPr>
        <w:rFonts w:ascii="Symbol" w:hAnsi="Symbol" w:hint="default"/>
      </w:rPr>
    </w:lvl>
    <w:lvl w:ilvl="4" w:tplc="04070003" w:tentative="1">
      <w:start w:val="1"/>
      <w:numFmt w:val="bullet"/>
      <w:lvlText w:val="o"/>
      <w:lvlJc w:val="left"/>
      <w:pPr>
        <w:tabs>
          <w:tab w:val="num" w:pos="4374"/>
        </w:tabs>
        <w:ind w:left="4374" w:hanging="360"/>
      </w:pPr>
      <w:rPr>
        <w:rFonts w:ascii="Courier New" w:hAnsi="Courier New" w:hint="default"/>
      </w:rPr>
    </w:lvl>
    <w:lvl w:ilvl="5" w:tplc="04070005" w:tentative="1">
      <w:start w:val="1"/>
      <w:numFmt w:val="bullet"/>
      <w:lvlText w:val=""/>
      <w:lvlJc w:val="left"/>
      <w:pPr>
        <w:tabs>
          <w:tab w:val="num" w:pos="5094"/>
        </w:tabs>
        <w:ind w:left="5094" w:hanging="360"/>
      </w:pPr>
      <w:rPr>
        <w:rFonts w:ascii="Wingdings" w:hAnsi="Wingdings" w:hint="default"/>
      </w:rPr>
    </w:lvl>
    <w:lvl w:ilvl="6" w:tplc="04070001" w:tentative="1">
      <w:start w:val="1"/>
      <w:numFmt w:val="bullet"/>
      <w:lvlText w:val=""/>
      <w:lvlJc w:val="left"/>
      <w:pPr>
        <w:tabs>
          <w:tab w:val="num" w:pos="5814"/>
        </w:tabs>
        <w:ind w:left="5814" w:hanging="360"/>
      </w:pPr>
      <w:rPr>
        <w:rFonts w:ascii="Symbol" w:hAnsi="Symbol" w:hint="default"/>
      </w:rPr>
    </w:lvl>
    <w:lvl w:ilvl="7" w:tplc="04070003" w:tentative="1">
      <w:start w:val="1"/>
      <w:numFmt w:val="bullet"/>
      <w:lvlText w:val="o"/>
      <w:lvlJc w:val="left"/>
      <w:pPr>
        <w:tabs>
          <w:tab w:val="num" w:pos="6534"/>
        </w:tabs>
        <w:ind w:left="6534" w:hanging="360"/>
      </w:pPr>
      <w:rPr>
        <w:rFonts w:ascii="Courier New" w:hAnsi="Courier New" w:hint="default"/>
      </w:rPr>
    </w:lvl>
    <w:lvl w:ilvl="8" w:tplc="04070005" w:tentative="1">
      <w:start w:val="1"/>
      <w:numFmt w:val="bullet"/>
      <w:lvlText w:val=""/>
      <w:lvlJc w:val="left"/>
      <w:pPr>
        <w:tabs>
          <w:tab w:val="num" w:pos="7254"/>
        </w:tabs>
        <w:ind w:left="7254" w:hanging="360"/>
      </w:pPr>
      <w:rPr>
        <w:rFonts w:ascii="Wingdings" w:hAnsi="Wingdings" w:hint="default"/>
      </w:rPr>
    </w:lvl>
  </w:abstractNum>
  <w:abstractNum w:abstractNumId="17" w15:restartNumberingAfterBreak="0">
    <w:nsid w:val="3CA70E63"/>
    <w:multiLevelType w:val="singleLevel"/>
    <w:tmpl w:val="190E733A"/>
    <w:lvl w:ilvl="0">
      <w:start w:val="1"/>
      <w:numFmt w:val="decimal"/>
      <w:pStyle w:val="Bullet10"/>
      <w:lvlText w:val="%1."/>
      <w:lvlJc w:val="left"/>
      <w:pPr>
        <w:tabs>
          <w:tab w:val="num" w:pos="360"/>
        </w:tabs>
        <w:ind w:left="284" w:hanging="284"/>
      </w:pPr>
    </w:lvl>
  </w:abstractNum>
  <w:abstractNum w:abstractNumId="18" w15:restartNumberingAfterBreak="0">
    <w:nsid w:val="3ED8247C"/>
    <w:multiLevelType w:val="hybridMultilevel"/>
    <w:tmpl w:val="B8BA5B2C"/>
    <w:lvl w:ilvl="0" w:tplc="04070001">
      <w:start w:val="1"/>
      <w:numFmt w:val="bullet"/>
      <w:lvlText w:val=""/>
      <w:lvlJc w:val="left"/>
      <w:pPr>
        <w:ind w:left="1904" w:hanging="360"/>
      </w:pPr>
      <w:rPr>
        <w:rFonts w:ascii="Symbol" w:hAnsi="Symbol" w:hint="default"/>
      </w:rPr>
    </w:lvl>
    <w:lvl w:ilvl="1" w:tplc="04070003" w:tentative="1">
      <w:start w:val="1"/>
      <w:numFmt w:val="bullet"/>
      <w:lvlText w:val="o"/>
      <w:lvlJc w:val="left"/>
      <w:pPr>
        <w:ind w:left="2624" w:hanging="360"/>
      </w:pPr>
      <w:rPr>
        <w:rFonts w:ascii="Courier New" w:hAnsi="Courier New" w:cs="Courier New" w:hint="default"/>
      </w:rPr>
    </w:lvl>
    <w:lvl w:ilvl="2" w:tplc="04070005" w:tentative="1">
      <w:start w:val="1"/>
      <w:numFmt w:val="bullet"/>
      <w:lvlText w:val=""/>
      <w:lvlJc w:val="left"/>
      <w:pPr>
        <w:ind w:left="3344" w:hanging="360"/>
      </w:pPr>
      <w:rPr>
        <w:rFonts w:ascii="Wingdings" w:hAnsi="Wingdings" w:hint="default"/>
      </w:rPr>
    </w:lvl>
    <w:lvl w:ilvl="3" w:tplc="04070001" w:tentative="1">
      <w:start w:val="1"/>
      <w:numFmt w:val="bullet"/>
      <w:lvlText w:val=""/>
      <w:lvlJc w:val="left"/>
      <w:pPr>
        <w:ind w:left="4064" w:hanging="360"/>
      </w:pPr>
      <w:rPr>
        <w:rFonts w:ascii="Symbol" w:hAnsi="Symbol" w:hint="default"/>
      </w:rPr>
    </w:lvl>
    <w:lvl w:ilvl="4" w:tplc="04070003" w:tentative="1">
      <w:start w:val="1"/>
      <w:numFmt w:val="bullet"/>
      <w:lvlText w:val="o"/>
      <w:lvlJc w:val="left"/>
      <w:pPr>
        <w:ind w:left="4784" w:hanging="360"/>
      </w:pPr>
      <w:rPr>
        <w:rFonts w:ascii="Courier New" w:hAnsi="Courier New" w:cs="Courier New" w:hint="default"/>
      </w:rPr>
    </w:lvl>
    <w:lvl w:ilvl="5" w:tplc="04070005" w:tentative="1">
      <w:start w:val="1"/>
      <w:numFmt w:val="bullet"/>
      <w:lvlText w:val=""/>
      <w:lvlJc w:val="left"/>
      <w:pPr>
        <w:ind w:left="5504" w:hanging="360"/>
      </w:pPr>
      <w:rPr>
        <w:rFonts w:ascii="Wingdings" w:hAnsi="Wingdings" w:hint="default"/>
      </w:rPr>
    </w:lvl>
    <w:lvl w:ilvl="6" w:tplc="04070001" w:tentative="1">
      <w:start w:val="1"/>
      <w:numFmt w:val="bullet"/>
      <w:lvlText w:val=""/>
      <w:lvlJc w:val="left"/>
      <w:pPr>
        <w:ind w:left="6224" w:hanging="360"/>
      </w:pPr>
      <w:rPr>
        <w:rFonts w:ascii="Symbol" w:hAnsi="Symbol" w:hint="default"/>
      </w:rPr>
    </w:lvl>
    <w:lvl w:ilvl="7" w:tplc="04070003" w:tentative="1">
      <w:start w:val="1"/>
      <w:numFmt w:val="bullet"/>
      <w:lvlText w:val="o"/>
      <w:lvlJc w:val="left"/>
      <w:pPr>
        <w:ind w:left="6944" w:hanging="360"/>
      </w:pPr>
      <w:rPr>
        <w:rFonts w:ascii="Courier New" w:hAnsi="Courier New" w:cs="Courier New" w:hint="default"/>
      </w:rPr>
    </w:lvl>
    <w:lvl w:ilvl="8" w:tplc="04070005" w:tentative="1">
      <w:start w:val="1"/>
      <w:numFmt w:val="bullet"/>
      <w:lvlText w:val=""/>
      <w:lvlJc w:val="left"/>
      <w:pPr>
        <w:ind w:left="7664" w:hanging="360"/>
      </w:pPr>
      <w:rPr>
        <w:rFonts w:ascii="Wingdings" w:hAnsi="Wingdings" w:hint="default"/>
      </w:rPr>
    </w:lvl>
  </w:abstractNum>
  <w:abstractNum w:abstractNumId="19" w15:restartNumberingAfterBreak="0">
    <w:nsid w:val="4BBB13C4"/>
    <w:multiLevelType w:val="singleLevel"/>
    <w:tmpl w:val="04070001"/>
    <w:lvl w:ilvl="0">
      <w:start w:val="1"/>
      <w:numFmt w:val="bullet"/>
      <w:pStyle w:val="Einrckung"/>
      <w:lvlText w:val=""/>
      <w:lvlJc w:val="left"/>
      <w:pPr>
        <w:tabs>
          <w:tab w:val="num" w:pos="360"/>
        </w:tabs>
        <w:ind w:left="360" w:hanging="360"/>
      </w:pPr>
      <w:rPr>
        <w:rFonts w:ascii="Symbol" w:hAnsi="Symbol" w:hint="default"/>
      </w:rPr>
    </w:lvl>
  </w:abstractNum>
  <w:abstractNum w:abstractNumId="20" w15:restartNumberingAfterBreak="0">
    <w:nsid w:val="4E0C6526"/>
    <w:multiLevelType w:val="hybridMultilevel"/>
    <w:tmpl w:val="67583B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4FAA7759"/>
    <w:multiLevelType w:val="hybridMultilevel"/>
    <w:tmpl w:val="A8DEFB68"/>
    <w:lvl w:ilvl="0" w:tplc="BF06E70E">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51A151BE"/>
    <w:multiLevelType w:val="hybridMultilevel"/>
    <w:tmpl w:val="5468A004"/>
    <w:lvl w:ilvl="0" w:tplc="044AF082">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53C4475D"/>
    <w:multiLevelType w:val="hybridMultilevel"/>
    <w:tmpl w:val="DAE29BC6"/>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24" w15:restartNumberingAfterBreak="0">
    <w:nsid w:val="5A7E6DBA"/>
    <w:multiLevelType w:val="hybridMultilevel"/>
    <w:tmpl w:val="9516EA14"/>
    <w:lvl w:ilvl="0" w:tplc="04070001">
      <w:start w:val="1"/>
      <w:numFmt w:val="bullet"/>
      <w:lvlText w:val=""/>
      <w:lvlJc w:val="left"/>
      <w:pPr>
        <w:ind w:left="2160" w:hanging="360"/>
      </w:pPr>
      <w:rPr>
        <w:rFonts w:ascii="Symbol" w:hAnsi="Symbol" w:hint="default"/>
      </w:rPr>
    </w:lvl>
    <w:lvl w:ilvl="1" w:tplc="04070003" w:tentative="1">
      <w:start w:val="1"/>
      <w:numFmt w:val="bullet"/>
      <w:lvlText w:val="o"/>
      <w:lvlJc w:val="left"/>
      <w:pPr>
        <w:ind w:left="2880" w:hanging="360"/>
      </w:pPr>
      <w:rPr>
        <w:rFonts w:ascii="Courier New" w:hAnsi="Courier New" w:cs="Courier New" w:hint="default"/>
      </w:rPr>
    </w:lvl>
    <w:lvl w:ilvl="2" w:tplc="04070005" w:tentative="1">
      <w:start w:val="1"/>
      <w:numFmt w:val="bullet"/>
      <w:lvlText w:val=""/>
      <w:lvlJc w:val="left"/>
      <w:pPr>
        <w:ind w:left="3600" w:hanging="360"/>
      </w:pPr>
      <w:rPr>
        <w:rFonts w:ascii="Wingdings" w:hAnsi="Wingdings" w:hint="default"/>
      </w:rPr>
    </w:lvl>
    <w:lvl w:ilvl="3" w:tplc="04070001" w:tentative="1">
      <w:start w:val="1"/>
      <w:numFmt w:val="bullet"/>
      <w:lvlText w:val=""/>
      <w:lvlJc w:val="left"/>
      <w:pPr>
        <w:ind w:left="4320" w:hanging="360"/>
      </w:pPr>
      <w:rPr>
        <w:rFonts w:ascii="Symbol" w:hAnsi="Symbol" w:hint="default"/>
      </w:rPr>
    </w:lvl>
    <w:lvl w:ilvl="4" w:tplc="04070003" w:tentative="1">
      <w:start w:val="1"/>
      <w:numFmt w:val="bullet"/>
      <w:lvlText w:val="o"/>
      <w:lvlJc w:val="left"/>
      <w:pPr>
        <w:ind w:left="5040" w:hanging="360"/>
      </w:pPr>
      <w:rPr>
        <w:rFonts w:ascii="Courier New" w:hAnsi="Courier New" w:cs="Courier New" w:hint="default"/>
      </w:rPr>
    </w:lvl>
    <w:lvl w:ilvl="5" w:tplc="04070005" w:tentative="1">
      <w:start w:val="1"/>
      <w:numFmt w:val="bullet"/>
      <w:lvlText w:val=""/>
      <w:lvlJc w:val="left"/>
      <w:pPr>
        <w:ind w:left="5760" w:hanging="360"/>
      </w:pPr>
      <w:rPr>
        <w:rFonts w:ascii="Wingdings" w:hAnsi="Wingdings" w:hint="default"/>
      </w:rPr>
    </w:lvl>
    <w:lvl w:ilvl="6" w:tplc="04070001" w:tentative="1">
      <w:start w:val="1"/>
      <w:numFmt w:val="bullet"/>
      <w:lvlText w:val=""/>
      <w:lvlJc w:val="left"/>
      <w:pPr>
        <w:ind w:left="6480" w:hanging="360"/>
      </w:pPr>
      <w:rPr>
        <w:rFonts w:ascii="Symbol" w:hAnsi="Symbol" w:hint="default"/>
      </w:rPr>
    </w:lvl>
    <w:lvl w:ilvl="7" w:tplc="04070003" w:tentative="1">
      <w:start w:val="1"/>
      <w:numFmt w:val="bullet"/>
      <w:lvlText w:val="o"/>
      <w:lvlJc w:val="left"/>
      <w:pPr>
        <w:ind w:left="7200" w:hanging="360"/>
      </w:pPr>
      <w:rPr>
        <w:rFonts w:ascii="Courier New" w:hAnsi="Courier New" w:cs="Courier New" w:hint="default"/>
      </w:rPr>
    </w:lvl>
    <w:lvl w:ilvl="8" w:tplc="04070005" w:tentative="1">
      <w:start w:val="1"/>
      <w:numFmt w:val="bullet"/>
      <w:lvlText w:val=""/>
      <w:lvlJc w:val="left"/>
      <w:pPr>
        <w:ind w:left="7920" w:hanging="360"/>
      </w:pPr>
      <w:rPr>
        <w:rFonts w:ascii="Wingdings" w:hAnsi="Wingdings" w:hint="default"/>
      </w:rPr>
    </w:lvl>
  </w:abstractNum>
  <w:abstractNum w:abstractNumId="25" w15:restartNumberingAfterBreak="0">
    <w:nsid w:val="5AD447BB"/>
    <w:multiLevelType w:val="singleLevel"/>
    <w:tmpl w:val="38E05CD0"/>
    <w:lvl w:ilvl="0">
      <w:start w:val="1"/>
      <w:numFmt w:val="decimal"/>
      <w:pStyle w:val="Nummerierung"/>
      <w:lvlText w:val="%1."/>
      <w:legacy w:legacy="1" w:legacySpace="0" w:legacyIndent="283"/>
      <w:lvlJc w:val="left"/>
      <w:pPr>
        <w:ind w:left="1417" w:hanging="283"/>
      </w:pPr>
    </w:lvl>
  </w:abstractNum>
  <w:abstractNum w:abstractNumId="26" w15:restartNumberingAfterBreak="0">
    <w:nsid w:val="5BD65D38"/>
    <w:multiLevelType w:val="hybridMultilevel"/>
    <w:tmpl w:val="8BD600B8"/>
    <w:lvl w:ilvl="0" w:tplc="3BDCBBFA">
      <w:start w:val="1"/>
      <w:numFmt w:val="decimal"/>
      <w:lvlText w:val="%1."/>
      <w:lvlJc w:val="left"/>
      <w:pPr>
        <w:ind w:left="720" w:hanging="360"/>
      </w:pPr>
      <w:rPr>
        <w:rFonts w:hint="default"/>
        <w:sz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5C211665"/>
    <w:multiLevelType w:val="hybridMultilevel"/>
    <w:tmpl w:val="8434622C"/>
    <w:lvl w:ilvl="0" w:tplc="EF2E7A0C">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06306A0"/>
    <w:multiLevelType w:val="singleLevel"/>
    <w:tmpl w:val="CA0EF4CE"/>
    <w:lvl w:ilvl="0">
      <w:start w:val="1"/>
      <w:numFmt w:val="decimal"/>
      <w:pStyle w:val="Numerierung"/>
      <w:lvlText w:val="%1.)"/>
      <w:lvlJc w:val="left"/>
      <w:pPr>
        <w:tabs>
          <w:tab w:val="num" w:pos="1494"/>
        </w:tabs>
        <w:ind w:left="1491" w:hanging="357"/>
      </w:pPr>
      <w:rPr>
        <w:b w:val="0"/>
        <w:i w:val="0"/>
      </w:rPr>
    </w:lvl>
  </w:abstractNum>
  <w:abstractNum w:abstractNumId="29" w15:restartNumberingAfterBreak="0">
    <w:nsid w:val="6E5F750A"/>
    <w:multiLevelType w:val="hybridMultilevel"/>
    <w:tmpl w:val="397CBAD0"/>
    <w:lvl w:ilvl="0" w:tplc="BF42CF6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0" w15:restartNumberingAfterBreak="0">
    <w:nsid w:val="78CC0749"/>
    <w:multiLevelType w:val="hybridMultilevel"/>
    <w:tmpl w:val="9B3CDA66"/>
    <w:lvl w:ilvl="0" w:tplc="3DF6747A">
      <w:start w:val="1"/>
      <w:numFmt w:val="bullet"/>
      <w:lvlText w:val=""/>
      <w:lvlJc w:val="left"/>
      <w:pPr>
        <w:tabs>
          <w:tab w:val="num" w:pos="1854"/>
        </w:tabs>
        <w:ind w:left="1854" w:hanging="360"/>
      </w:pPr>
      <w:rPr>
        <w:rFonts w:ascii="Wingdings" w:hAnsi="Wingdings" w:hint="default"/>
        <w:color w:val="auto"/>
      </w:rPr>
    </w:lvl>
    <w:lvl w:ilvl="1" w:tplc="04070003">
      <w:start w:val="1"/>
      <w:numFmt w:val="bullet"/>
      <w:lvlText w:val="o"/>
      <w:lvlJc w:val="left"/>
      <w:pPr>
        <w:tabs>
          <w:tab w:val="num" w:pos="2574"/>
        </w:tabs>
        <w:ind w:left="2574" w:hanging="360"/>
      </w:pPr>
      <w:rPr>
        <w:rFonts w:ascii="Courier New" w:hAnsi="Courier New" w:cs="Courier New" w:hint="default"/>
      </w:rPr>
    </w:lvl>
    <w:lvl w:ilvl="2" w:tplc="04070005" w:tentative="1">
      <w:start w:val="1"/>
      <w:numFmt w:val="bullet"/>
      <w:lvlText w:val=""/>
      <w:lvlJc w:val="left"/>
      <w:pPr>
        <w:tabs>
          <w:tab w:val="num" w:pos="3294"/>
        </w:tabs>
        <w:ind w:left="3294" w:hanging="360"/>
      </w:pPr>
      <w:rPr>
        <w:rFonts w:ascii="Wingdings" w:hAnsi="Wingdings" w:hint="default"/>
      </w:rPr>
    </w:lvl>
    <w:lvl w:ilvl="3" w:tplc="04070001" w:tentative="1">
      <w:start w:val="1"/>
      <w:numFmt w:val="bullet"/>
      <w:lvlText w:val=""/>
      <w:lvlJc w:val="left"/>
      <w:pPr>
        <w:tabs>
          <w:tab w:val="num" w:pos="4014"/>
        </w:tabs>
        <w:ind w:left="4014" w:hanging="360"/>
      </w:pPr>
      <w:rPr>
        <w:rFonts w:ascii="Symbol" w:hAnsi="Symbol" w:hint="default"/>
      </w:rPr>
    </w:lvl>
    <w:lvl w:ilvl="4" w:tplc="04070003" w:tentative="1">
      <w:start w:val="1"/>
      <w:numFmt w:val="bullet"/>
      <w:lvlText w:val="o"/>
      <w:lvlJc w:val="left"/>
      <w:pPr>
        <w:tabs>
          <w:tab w:val="num" w:pos="4734"/>
        </w:tabs>
        <w:ind w:left="4734" w:hanging="360"/>
      </w:pPr>
      <w:rPr>
        <w:rFonts w:ascii="Courier New" w:hAnsi="Courier New" w:cs="Courier New" w:hint="default"/>
      </w:rPr>
    </w:lvl>
    <w:lvl w:ilvl="5" w:tplc="04070005" w:tentative="1">
      <w:start w:val="1"/>
      <w:numFmt w:val="bullet"/>
      <w:lvlText w:val=""/>
      <w:lvlJc w:val="left"/>
      <w:pPr>
        <w:tabs>
          <w:tab w:val="num" w:pos="5454"/>
        </w:tabs>
        <w:ind w:left="5454" w:hanging="360"/>
      </w:pPr>
      <w:rPr>
        <w:rFonts w:ascii="Wingdings" w:hAnsi="Wingdings" w:hint="default"/>
      </w:rPr>
    </w:lvl>
    <w:lvl w:ilvl="6" w:tplc="04070001" w:tentative="1">
      <w:start w:val="1"/>
      <w:numFmt w:val="bullet"/>
      <w:lvlText w:val=""/>
      <w:lvlJc w:val="left"/>
      <w:pPr>
        <w:tabs>
          <w:tab w:val="num" w:pos="6174"/>
        </w:tabs>
        <w:ind w:left="6174" w:hanging="360"/>
      </w:pPr>
      <w:rPr>
        <w:rFonts w:ascii="Symbol" w:hAnsi="Symbol" w:hint="default"/>
      </w:rPr>
    </w:lvl>
    <w:lvl w:ilvl="7" w:tplc="04070003" w:tentative="1">
      <w:start w:val="1"/>
      <w:numFmt w:val="bullet"/>
      <w:lvlText w:val="o"/>
      <w:lvlJc w:val="left"/>
      <w:pPr>
        <w:tabs>
          <w:tab w:val="num" w:pos="6894"/>
        </w:tabs>
        <w:ind w:left="6894" w:hanging="360"/>
      </w:pPr>
      <w:rPr>
        <w:rFonts w:ascii="Courier New" w:hAnsi="Courier New" w:cs="Courier New" w:hint="default"/>
      </w:rPr>
    </w:lvl>
    <w:lvl w:ilvl="8" w:tplc="04070005" w:tentative="1">
      <w:start w:val="1"/>
      <w:numFmt w:val="bullet"/>
      <w:lvlText w:val=""/>
      <w:lvlJc w:val="left"/>
      <w:pPr>
        <w:tabs>
          <w:tab w:val="num" w:pos="7614"/>
        </w:tabs>
        <w:ind w:left="7614" w:hanging="360"/>
      </w:pPr>
      <w:rPr>
        <w:rFonts w:ascii="Wingdings" w:hAnsi="Wingdings" w:hint="default"/>
      </w:rPr>
    </w:lvl>
  </w:abstractNum>
  <w:abstractNum w:abstractNumId="31" w15:restartNumberingAfterBreak="0">
    <w:nsid w:val="79F750DF"/>
    <w:multiLevelType w:val="singleLevel"/>
    <w:tmpl w:val="4FA29132"/>
    <w:lvl w:ilvl="0">
      <w:start w:val="1"/>
      <w:numFmt w:val="bullet"/>
      <w:pStyle w:val="Auflistung"/>
      <w:lvlText w:val="-"/>
      <w:lvlJc w:val="left"/>
      <w:pPr>
        <w:tabs>
          <w:tab w:val="num" w:pos="360"/>
        </w:tabs>
        <w:ind w:left="360" w:hanging="360"/>
      </w:pPr>
      <w:rPr>
        <w:sz w:val="16"/>
      </w:rPr>
    </w:lvl>
  </w:abstractNum>
  <w:abstractNum w:abstractNumId="32" w15:restartNumberingAfterBreak="0">
    <w:nsid w:val="7A1E1CB5"/>
    <w:multiLevelType w:val="hybridMultilevel"/>
    <w:tmpl w:val="C37AD832"/>
    <w:lvl w:ilvl="0" w:tplc="E0B635AE">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5"/>
  </w:num>
  <w:num w:numId="2">
    <w:abstractNumId w:val="28"/>
  </w:num>
  <w:num w:numId="3">
    <w:abstractNumId w:val="0"/>
  </w:num>
  <w:num w:numId="4">
    <w:abstractNumId w:val="8"/>
  </w:num>
  <w:num w:numId="5">
    <w:abstractNumId w:val="13"/>
  </w:num>
  <w:num w:numId="6">
    <w:abstractNumId w:val="10"/>
  </w:num>
  <w:num w:numId="7">
    <w:abstractNumId w:val="16"/>
  </w:num>
  <w:num w:numId="8">
    <w:abstractNumId w:val="3"/>
  </w:num>
  <w:num w:numId="9">
    <w:abstractNumId w:val="6"/>
  </w:num>
  <w:num w:numId="10">
    <w:abstractNumId w:val="17"/>
  </w:num>
  <w:num w:numId="11">
    <w:abstractNumId w:val="19"/>
  </w:num>
  <w:num w:numId="12">
    <w:abstractNumId w:val="31"/>
  </w:num>
  <w:num w:numId="13">
    <w:abstractNumId w:val="1"/>
    <w:lvlOverride w:ilvl="0">
      <w:lvl w:ilvl="0">
        <w:start w:val="1"/>
        <w:numFmt w:val="bullet"/>
        <w:pStyle w:val="Liste1"/>
        <w:lvlText w:val=""/>
        <w:legacy w:legacy="1" w:legacySpace="0" w:legacyIndent="283"/>
        <w:lvlJc w:val="left"/>
        <w:pPr>
          <w:ind w:left="850" w:hanging="283"/>
        </w:pPr>
        <w:rPr>
          <w:rFonts w:ascii="Symbol" w:hAnsi="Symbol" w:hint="default"/>
        </w:rPr>
      </w:lvl>
    </w:lvlOverride>
  </w:num>
  <w:num w:numId="14">
    <w:abstractNumId w:val="27"/>
  </w:num>
  <w:num w:numId="15">
    <w:abstractNumId w:val="24"/>
  </w:num>
  <w:num w:numId="16">
    <w:abstractNumId w:val="18"/>
  </w:num>
  <w:num w:numId="17">
    <w:abstractNumId w:val="23"/>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32"/>
  </w:num>
  <w:num w:numId="21">
    <w:abstractNumId w:val="22"/>
  </w:num>
  <w:num w:numId="22">
    <w:abstractNumId w:val="11"/>
  </w:num>
  <w:num w:numId="23">
    <w:abstractNumId w:val="2"/>
  </w:num>
  <w:num w:numId="24">
    <w:abstractNumId w:val="29"/>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4"/>
  </w:num>
  <w:num w:numId="29">
    <w:abstractNumId w:val="0"/>
  </w:num>
  <w:num w:numId="30">
    <w:abstractNumId w:val="0"/>
  </w:num>
  <w:num w:numId="31">
    <w:abstractNumId w:val="0"/>
  </w:num>
  <w:num w:numId="32">
    <w:abstractNumId w:val="5"/>
  </w:num>
  <w:num w:numId="33">
    <w:abstractNumId w:val="15"/>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num>
  <w:num w:numId="40">
    <w:abstractNumId w:val="21"/>
  </w:num>
  <w:num w:numId="41">
    <w:abstractNumId w:val="20"/>
  </w:num>
  <w:num w:numId="42">
    <w:abstractNumId w:val="9"/>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0"/>
  </w:num>
  <w:num w:numId="46">
    <w:abstractNumId w:val="0"/>
  </w:num>
  <w:num w:numId="47">
    <w:abstractNumId w:val="0"/>
  </w:num>
  <w:num w:numId="48">
    <w:abstractNumId w:val="0"/>
  </w:num>
  <w:num w:numId="49">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isplayBackgroundShape/>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ghgMAOTQL8vxQ8vHCECVFibyqUY+5EfJFz9UxvYdxI3iFa9k1GDohiNJ4S0bs+byZP/5xoz5J/e2r9dRvFFiIg==" w:salt="UWHkhjHIHaj76VQJ1C207A=="/>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192513">
      <o:colormru v:ext="edit" colors="#ddd,#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2513">
      <o:colormru v:ext="edit" colors="#ddd,#eaeaea"/>
    </o:shapedefaults>
    <o:shapelayout v:ext="edit">
      <o:idmap v:ext="edit" data="1"/>
    </o:shapelayout>
  </w:shapeDefaults>
  <w:decimalSymbol w:val=","/>
  <w:listSeparator w:val=";"/>
  <w15:docId w15:val="{E1D0D4F0-A058-41EC-A2CC-F69B317C4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lang w:eastAsia="en-US"/>
    </w:rPr>
  </w:style>
  <w:style w:type="paragraph" w:styleId="berschrift1">
    <w:name w:val="heading 1"/>
    <w:aliases w:val="Headline1:Überschrift 1,Überschrift 0,Header 1,Chapter,H1,Heading 1,Heading 10,Head1,Heading apps,Heading 101,Head11,Heading apps1,Überschrift 1 ohne,Überschrift 1a,Überschrift 1a1,Überschrift 1 ohne1,h1,OdsKap1,OdsKap1Überschrift,II+ Char"/>
    <w:basedOn w:val="BasisabsatzCharChar"/>
    <w:next w:val="BasisabsatzCharChar"/>
    <w:qFormat/>
    <w:pPr>
      <w:keepNext/>
      <w:keepLines/>
      <w:pageBreakBefore/>
      <w:numPr>
        <w:numId w:val="3"/>
      </w:numPr>
      <w:spacing w:before="120" w:after="240"/>
      <w:outlineLvl w:val="0"/>
    </w:pPr>
    <w:rPr>
      <w:b/>
      <w:noProof/>
      <w:sz w:val="32"/>
    </w:rPr>
  </w:style>
  <w:style w:type="paragraph" w:styleId="berschrift2">
    <w:name w:val="heading 2"/>
    <w:aliases w:val="Headline 2,Gliederung2,Header 2,H2,H21,H22,H23,H24,H25,H26,H27,H28,H29,H210,H211,H212,H213,H221,H231,H241,H251,H261,H271,H281,H291,H2101,H2111,H2121,H214,H222,H232,H242,H252,H262,H272,H282,H292,H2102,H2112,H2122,H215,H223,H233,H243,H253,l2"/>
    <w:basedOn w:val="berschrift1"/>
    <w:next w:val="BasisabsatzCharChar"/>
    <w:link w:val="berschrift2Zchn"/>
    <w:qFormat/>
    <w:pPr>
      <w:pageBreakBefore w:val="0"/>
      <w:numPr>
        <w:ilvl w:val="1"/>
      </w:numPr>
      <w:tabs>
        <w:tab w:val="right" w:pos="8789"/>
      </w:tabs>
      <w:spacing w:before="180"/>
      <w:ind w:right="142"/>
      <w:outlineLvl w:val="1"/>
    </w:pPr>
    <w:rPr>
      <w:sz w:val="28"/>
    </w:rPr>
  </w:style>
  <w:style w:type="paragraph" w:styleId="berschrift3">
    <w:name w:val="heading 3"/>
    <w:aliases w:val="Gliederung3,Header 3,Header3,H3,h3,Gliederung31,H3&lt;------------------,a_Heading 3,Headline 3,heading 3,3,l3,subhead,1.,TF-Overskrift 3,L3,NormalHeading 3,HHHeading,Level 3 Head,HeadSmall,h31,31,l31,Level 3 Head1,H31,HeadSmall1,h32,32,l32"/>
    <w:basedOn w:val="berschrift2"/>
    <w:next w:val="BasisabsatzCharChar"/>
    <w:qFormat/>
    <w:pPr>
      <w:numPr>
        <w:ilvl w:val="2"/>
      </w:numPr>
      <w:outlineLvl w:val="2"/>
    </w:pPr>
    <w:rPr>
      <w:sz w:val="24"/>
    </w:rPr>
  </w:style>
  <w:style w:type="paragraph" w:styleId="berschrift4">
    <w:name w:val="heading 4"/>
    <w:aliases w:val="Header 4,H4,Headline4,h4,a.,Sub sub heading,4,h41,a.1,H41,41,Level 2 - a,Map para,Map Title,h42,a.2,H42,42,h43,a.3,H43,43,h44,a.4,H44,44,h45,a.5,H45,45,h46,a.6,H46,46,h47,a.7,H47,47,h48,a.8,H48,48,h49,a.9,H49,49,h410,a.10,H410,Heading 4"/>
    <w:basedOn w:val="berschrift3"/>
    <w:next w:val="BasisabsatzCharChar"/>
    <w:qFormat/>
    <w:pPr>
      <w:numPr>
        <w:ilvl w:val="3"/>
      </w:numPr>
      <w:outlineLvl w:val="3"/>
    </w:pPr>
    <w:rPr>
      <w:noProof w:val="0"/>
      <w:lang w:eastAsia="de-DE"/>
    </w:rPr>
  </w:style>
  <w:style w:type="paragraph" w:styleId="berschrift5">
    <w:name w:val="heading 5"/>
    <w:aliases w:val="H5,FAQ Question,Headline5,h5,Level 3 - i,mh2,Module heading 2,Numbered Sub-list,heading 5,Headline51,Headline52,ASAPHeading 5,(Strg+5),Gliederung5,DTSÜberschrift 5,DTSÜberschri"/>
    <w:basedOn w:val="Standard"/>
    <w:next w:val="Standard"/>
    <w:qFormat/>
    <w:pPr>
      <w:numPr>
        <w:ilvl w:val="4"/>
        <w:numId w:val="3"/>
      </w:numPr>
      <w:spacing w:after="120"/>
      <w:ind w:right="142"/>
      <w:outlineLvl w:val="4"/>
    </w:pPr>
    <w:rPr>
      <w:b/>
    </w:rPr>
  </w:style>
  <w:style w:type="paragraph" w:styleId="berschrift6">
    <w:name w:val="heading 6"/>
    <w:aliases w:val="Legal Level 1.,cnp,Caption number (page-wide),h6,Überschrift Fett,Überschrift"/>
    <w:basedOn w:val="BasisabsatzCharChar"/>
    <w:next w:val="BasisabsatzCharChar"/>
    <w:qFormat/>
    <w:pPr>
      <w:numPr>
        <w:ilvl w:val="5"/>
        <w:numId w:val="3"/>
      </w:numPr>
      <w:outlineLvl w:val="5"/>
    </w:pPr>
  </w:style>
  <w:style w:type="paragraph" w:styleId="berschrift7">
    <w:name w:val="heading 7"/>
    <w:aliases w:val="cnc,Caption number (column-wide),L7,h7,ASAPHeading 7,(Strg+7),Überschrift Kursiv,KAÜ7,Überschrift Ku"/>
    <w:basedOn w:val="BasisabsatzCharChar"/>
    <w:next w:val="Standard"/>
    <w:qFormat/>
    <w:pPr>
      <w:numPr>
        <w:ilvl w:val="6"/>
        <w:numId w:val="3"/>
      </w:numPr>
      <w:outlineLvl w:val="6"/>
    </w:pPr>
    <w:rPr>
      <w:i/>
    </w:rPr>
  </w:style>
  <w:style w:type="paragraph" w:styleId="berschrift8">
    <w:name w:val="heading 8"/>
    <w:aliases w:val="ctp,Caption text (page-wide),Listings,Listings1,Listings2,Listings3,Listings11,Listings21,Listings4,Listings12,Listings22,Listings5,Listings13,Listings23,Listings31,Listings111,Listings211,Listings41,Listings121,Listings221,Listings6,t,t1"/>
    <w:basedOn w:val="BasisabsatzCharChar"/>
    <w:next w:val="Standard"/>
    <w:qFormat/>
    <w:pPr>
      <w:numPr>
        <w:ilvl w:val="7"/>
        <w:numId w:val="3"/>
      </w:numPr>
      <w:outlineLvl w:val="7"/>
    </w:pPr>
    <w:rPr>
      <w:i/>
    </w:rPr>
  </w:style>
  <w:style w:type="paragraph" w:styleId="berschrift9">
    <w:name w:val="heading 9"/>
    <w:aliases w:val="ctc,Caption text (column-wide),Appendix Heads,Appendix Heads1,Appendix Heads2,Appendix Heads3,Appendix Heads11,Appendix Heads21,Appendix Heads4,Appendix Heads12,Appendix Heads22,Appendix Heads5,Appendix Heads13,Appendix Heads23,h9"/>
    <w:basedOn w:val="BasisabsatzCharChar"/>
    <w:next w:val="Standard"/>
    <w:qFormat/>
    <w:pPr>
      <w:numPr>
        <w:ilvl w:val="8"/>
        <w:numId w:val="3"/>
      </w:numPr>
      <w:outlineLvl w:val="8"/>
    </w:pPr>
    <w:rPr>
      <w: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sisabsatzCharChar">
    <w:name w:val="Basisabsatz Char Char"/>
    <w:link w:val="BasisabsatzCharCharZchn"/>
    <w:pPr>
      <w:spacing w:after="120" w:line="360" w:lineRule="auto"/>
      <w:ind w:left="1134"/>
      <w:jc w:val="both"/>
    </w:pPr>
    <w:rPr>
      <w:rFonts w:ascii="Arial" w:hAnsi="Arial"/>
      <w:sz w:val="22"/>
      <w:lang w:eastAsia="en-US"/>
    </w:rPr>
  </w:style>
  <w:style w:type="paragraph" w:customStyle="1" w:styleId="Aufzhlung1">
    <w:name w:val="Aufzählung1"/>
    <w:basedOn w:val="BasisabsatzCharChar"/>
    <w:pPr>
      <w:numPr>
        <w:numId w:val="7"/>
      </w:numPr>
      <w:tabs>
        <w:tab w:val="clear" w:pos="1494"/>
        <w:tab w:val="num" w:pos="360"/>
      </w:tabs>
      <w:ind w:left="1418" w:hanging="284"/>
    </w:pPr>
  </w:style>
  <w:style w:type="paragraph" w:customStyle="1" w:styleId="Aufzhlung2">
    <w:name w:val="Aufzählung2"/>
    <w:basedOn w:val="BasisabsatzCharChar"/>
    <w:pPr>
      <w:numPr>
        <w:numId w:val="8"/>
      </w:numPr>
      <w:tabs>
        <w:tab w:val="clear" w:pos="1209"/>
      </w:tabs>
      <w:ind w:left="1701" w:hanging="283"/>
    </w:pPr>
  </w:style>
  <w:style w:type="paragraph" w:customStyle="1" w:styleId="Bild-Titel">
    <w:name w:val="Bild-Titel"/>
    <w:basedOn w:val="BasisabsatzCharChar"/>
    <w:next w:val="BasisabsatzCharChar"/>
    <w:pPr>
      <w:spacing w:after="180"/>
    </w:pPr>
    <w:rPr>
      <w:sz w:val="16"/>
    </w:rPr>
  </w:style>
  <w:style w:type="paragraph" w:styleId="Kopfzeile">
    <w:name w:val="header"/>
    <w:aliases w:val="DTSKopfzeile"/>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paragraph" w:customStyle="1" w:styleId="Tab-Text">
    <w:name w:val="Tab-Text"/>
    <w:basedOn w:val="BasisabsatzCharChar"/>
    <w:pPr>
      <w:spacing w:before="60" w:after="60"/>
      <w:ind w:left="0"/>
      <w:jc w:val="left"/>
    </w:pPr>
  </w:style>
  <w:style w:type="paragraph" w:customStyle="1" w:styleId="Tab-Kopf">
    <w:name w:val="Tab-Kopf"/>
    <w:basedOn w:val="BasisabsatzCharChar"/>
    <w:pPr>
      <w:spacing w:before="60" w:after="60"/>
      <w:ind w:left="0"/>
      <w:jc w:val="center"/>
    </w:pPr>
    <w:rPr>
      <w:b/>
    </w:rPr>
  </w:style>
  <w:style w:type="paragraph" w:customStyle="1" w:styleId="Tab-Text-Einzug">
    <w:name w:val="Tab-Text-Einzug"/>
    <w:basedOn w:val="Tab-Text"/>
    <w:pPr>
      <w:spacing w:before="0"/>
      <w:ind w:left="355"/>
    </w:pPr>
  </w:style>
  <w:style w:type="paragraph" w:customStyle="1" w:styleId="Tab-Text-zentriert">
    <w:name w:val="Tab-Text-zentriert"/>
    <w:basedOn w:val="Tab-Text"/>
    <w:pPr>
      <w:jc w:val="center"/>
    </w:pPr>
  </w:style>
  <w:style w:type="paragraph" w:styleId="Verzeichnis1">
    <w:name w:val="toc 1"/>
    <w:basedOn w:val="BasisabsatzCharChar"/>
    <w:next w:val="BasisabsatzCharChar"/>
    <w:uiPriority w:val="39"/>
    <w:pPr>
      <w:tabs>
        <w:tab w:val="left" w:pos="1134"/>
        <w:tab w:val="right" w:leader="dot" w:pos="9639"/>
      </w:tabs>
      <w:spacing w:before="120" w:after="60"/>
      <w:ind w:right="680" w:hanging="1134"/>
    </w:pPr>
    <w:rPr>
      <w:b/>
      <w:noProof/>
      <w:sz w:val="24"/>
    </w:rPr>
  </w:style>
  <w:style w:type="paragraph" w:styleId="Verzeichnis2">
    <w:name w:val="toc 2"/>
    <w:basedOn w:val="Verzeichnis1"/>
    <w:next w:val="BasisabsatzCharChar"/>
    <w:autoRedefine/>
    <w:uiPriority w:val="39"/>
    <w:pPr>
      <w:tabs>
        <w:tab w:val="clear" w:pos="1134"/>
      </w:tabs>
      <w:spacing w:before="60" w:after="0"/>
    </w:pPr>
    <w:rPr>
      <w:sz w:val="20"/>
    </w:rPr>
  </w:style>
  <w:style w:type="paragraph" w:styleId="Verzeichnis3">
    <w:name w:val="toc 3"/>
    <w:basedOn w:val="Verzeichnis2"/>
    <w:next w:val="BasisabsatzCharChar"/>
    <w:autoRedefine/>
    <w:uiPriority w:val="39"/>
    <w:pPr>
      <w:tabs>
        <w:tab w:val="left" w:pos="1134"/>
      </w:tabs>
    </w:pPr>
  </w:style>
  <w:style w:type="paragraph" w:styleId="Verzeichnis4">
    <w:name w:val="toc 4"/>
    <w:basedOn w:val="Verzeichnis3"/>
    <w:next w:val="BasisabsatzCharChar"/>
    <w:autoRedefine/>
    <w:uiPriority w:val="39"/>
  </w:style>
  <w:style w:type="paragraph" w:customStyle="1" w:styleId="Basisabsatz-fett">
    <w:name w:val="Basisabsatz-fett"/>
    <w:basedOn w:val="BasisabsatzCharChar"/>
    <w:rPr>
      <w:b/>
    </w:rPr>
  </w:style>
  <w:style w:type="paragraph" w:customStyle="1" w:styleId="zwberschrift">
    <w:name w:val="zwÜberschrift"/>
    <w:basedOn w:val="BasisabsatzCharChar"/>
    <w:next w:val="BasisabsatzCharChar"/>
    <w:pPr>
      <w:keepNext/>
      <w:keepLines/>
      <w:spacing w:before="360" w:after="240"/>
    </w:pPr>
    <w:rPr>
      <w:b/>
    </w:rPr>
  </w:style>
  <w:style w:type="paragraph" w:customStyle="1" w:styleId="Tab-Aufzhlung">
    <w:name w:val="Tab - Aufzählung"/>
    <w:basedOn w:val="Aufzhlung2"/>
    <w:pPr>
      <w:tabs>
        <w:tab w:val="num" w:pos="360"/>
      </w:tabs>
      <w:spacing w:after="0"/>
      <w:ind w:left="360" w:hanging="360"/>
    </w:pPr>
  </w:style>
  <w:style w:type="paragraph" w:customStyle="1" w:styleId="Aufzhlung3">
    <w:name w:val="Aufzählung3"/>
    <w:basedOn w:val="BasisabsatzCharChar"/>
    <w:pPr>
      <w:numPr>
        <w:ilvl w:val="1"/>
        <w:numId w:val="8"/>
      </w:numPr>
      <w:tabs>
        <w:tab w:val="clear" w:pos="1440"/>
      </w:tabs>
      <w:ind w:left="1985" w:hanging="284"/>
    </w:pPr>
  </w:style>
  <w:style w:type="paragraph" w:customStyle="1" w:styleId="Inhaltsberschrift">
    <w:name w:val="Inhaltsüberschrift"/>
    <w:basedOn w:val="Standard"/>
    <w:pPr>
      <w:pageBreakBefore/>
      <w:spacing w:before="120" w:after="120"/>
    </w:pPr>
    <w:rPr>
      <w:b/>
      <w:sz w:val="28"/>
    </w:rPr>
  </w:style>
  <w:style w:type="paragraph" w:styleId="Verzeichnis5">
    <w:name w:val="toc 5"/>
    <w:basedOn w:val="Verzeichnis4"/>
    <w:next w:val="Standard"/>
    <w:autoRedefine/>
    <w:uiPriority w:val="39"/>
  </w:style>
  <w:style w:type="paragraph" w:styleId="Verzeichnis6">
    <w:name w:val="toc 6"/>
    <w:basedOn w:val="Standard"/>
    <w:next w:val="Standard"/>
    <w:autoRedefine/>
    <w:uiPriority w:val="39"/>
    <w:pPr>
      <w:ind w:left="1100"/>
    </w:pPr>
  </w:style>
  <w:style w:type="paragraph" w:styleId="Verzeichnis7">
    <w:name w:val="toc 7"/>
    <w:basedOn w:val="Standard"/>
    <w:next w:val="Standard"/>
    <w:autoRedefine/>
    <w:uiPriority w:val="39"/>
    <w:pPr>
      <w:ind w:left="1320"/>
    </w:pPr>
  </w:style>
  <w:style w:type="paragraph" w:styleId="Verzeichnis8">
    <w:name w:val="toc 8"/>
    <w:basedOn w:val="Standard"/>
    <w:next w:val="Standard"/>
    <w:autoRedefine/>
    <w:uiPriority w:val="39"/>
    <w:pPr>
      <w:ind w:left="1540"/>
    </w:pPr>
  </w:style>
  <w:style w:type="paragraph" w:styleId="Verzeichnis9">
    <w:name w:val="toc 9"/>
    <w:basedOn w:val="Standard"/>
    <w:next w:val="Standard"/>
    <w:autoRedefine/>
    <w:uiPriority w:val="39"/>
    <w:pPr>
      <w:ind w:left="1760"/>
    </w:pPr>
  </w:style>
  <w:style w:type="paragraph" w:customStyle="1" w:styleId="Tab-Textfett">
    <w:name w:val="Tab-Text fett"/>
    <w:basedOn w:val="Tab-Text"/>
    <w:rPr>
      <w:b/>
    </w:rPr>
  </w:style>
  <w:style w:type="paragraph" w:customStyle="1" w:styleId="Tab-Titel">
    <w:name w:val="Tab-Titel"/>
    <w:basedOn w:val="BasisabsatzCharChar"/>
    <w:next w:val="BasisabsatzCharChar"/>
    <w:pPr>
      <w:spacing w:before="120" w:after="180"/>
    </w:pPr>
    <w:rPr>
      <w:sz w:val="16"/>
    </w:rPr>
  </w:style>
  <w:style w:type="paragraph" w:styleId="Titel">
    <w:name w:val="Title"/>
    <w:basedOn w:val="Standard"/>
    <w:qFormat/>
    <w:pPr>
      <w:tabs>
        <w:tab w:val="right" w:pos="9072"/>
      </w:tabs>
      <w:spacing w:before="240" w:after="60"/>
      <w:ind w:left="709"/>
      <w:jc w:val="center"/>
    </w:pPr>
    <w:rPr>
      <w:rFonts w:eastAsia="MS Mincho"/>
      <w:b/>
      <w:spacing w:val="10"/>
      <w:kern w:val="28"/>
      <w:sz w:val="72"/>
    </w:rPr>
  </w:style>
  <w:style w:type="paragraph" w:customStyle="1" w:styleId="Numerierung">
    <w:name w:val="Numerierung"/>
    <w:basedOn w:val="BasisabsatzCharChar"/>
    <w:pPr>
      <w:numPr>
        <w:numId w:val="2"/>
      </w:numPr>
    </w:pPr>
  </w:style>
  <w:style w:type="paragraph" w:customStyle="1" w:styleId="Tab-Kopf-links">
    <w:name w:val="Tab-Kopf-links"/>
    <w:basedOn w:val="Tab-Kopf"/>
    <w:pPr>
      <w:tabs>
        <w:tab w:val="num" w:pos="360"/>
      </w:tabs>
      <w:ind w:left="360" w:hanging="360"/>
      <w:jc w:val="left"/>
    </w:pPr>
  </w:style>
  <w:style w:type="paragraph" w:customStyle="1" w:styleId="zwberschrift2">
    <w:name w:val="zwÜberschrift2"/>
    <w:basedOn w:val="zwberschrift"/>
    <w:next w:val="BasisabsatzCharChar"/>
    <w:pPr>
      <w:keepNext w:val="0"/>
      <w:keepLines w:val="0"/>
      <w:numPr>
        <w:ilvl w:val="12"/>
      </w:numPr>
      <w:ind w:left="1134"/>
    </w:pPr>
    <w:rPr>
      <w:lang w:eastAsia="de-DE"/>
    </w:rPr>
  </w:style>
  <w:style w:type="paragraph" w:customStyle="1" w:styleId="nachaufzhlung1">
    <w:name w:val="nachaufzählung1"/>
    <w:basedOn w:val="BasisabsatzCharChar"/>
    <w:pPr>
      <w:ind w:left="1418"/>
    </w:pPr>
    <w:rPr>
      <w:snapToGrid w:val="0"/>
      <w:lang w:eastAsia="de-DE"/>
    </w:rPr>
  </w:style>
  <w:style w:type="character" w:styleId="Seitenzahl">
    <w:name w:val="page number"/>
    <w:basedOn w:val="Absatz-Standardschriftart"/>
  </w:style>
  <w:style w:type="paragraph" w:customStyle="1" w:styleId="Tabelle">
    <w:name w:val="Tabelle"/>
    <w:rPr>
      <w:rFonts w:ascii="Courier (W1)" w:hAnsi="Courier (W1)"/>
    </w:rPr>
  </w:style>
  <w:style w:type="paragraph" w:customStyle="1" w:styleId="Tab-TextAufzhlung">
    <w:name w:val="Tab-Text Aufzählung"/>
    <w:basedOn w:val="Tab-Text"/>
    <w:pPr>
      <w:numPr>
        <w:numId w:val="6"/>
      </w:numPr>
      <w:tabs>
        <w:tab w:val="clear" w:pos="1209"/>
      </w:tabs>
      <w:spacing w:before="0"/>
      <w:ind w:left="356"/>
    </w:pPr>
  </w:style>
  <w:style w:type="paragraph" w:customStyle="1" w:styleId="GrafikRahmen">
    <w:name w:val="Grafik Rahmen"/>
    <w:basedOn w:val="BasisabsatzCharChar"/>
    <w:pPr>
      <w:pBdr>
        <w:top w:val="single" w:sz="4" w:space="2" w:color="auto" w:shadow="1"/>
        <w:left w:val="single" w:sz="4" w:space="2" w:color="auto" w:shadow="1"/>
        <w:bottom w:val="single" w:sz="4" w:space="2" w:color="auto" w:shadow="1"/>
        <w:right w:val="single" w:sz="4" w:space="2" w:color="auto" w:shadow="1"/>
      </w:pBdr>
      <w:ind w:right="80"/>
    </w:pPr>
  </w:style>
  <w:style w:type="paragraph" w:customStyle="1" w:styleId="Unterpunkt">
    <w:name w:val="Unterpunkt"/>
    <w:basedOn w:val="Standard"/>
    <w:pPr>
      <w:numPr>
        <w:ilvl w:val="1"/>
        <w:numId w:val="7"/>
      </w:numPr>
    </w:pPr>
  </w:style>
  <w:style w:type="paragraph" w:customStyle="1" w:styleId="Aufzhlung5">
    <w:name w:val="Aufzählung5"/>
    <w:basedOn w:val="Standard"/>
    <w:pPr>
      <w:numPr>
        <w:ilvl w:val="1"/>
        <w:numId w:val="4"/>
      </w:numPr>
      <w:tabs>
        <w:tab w:val="clear" w:pos="1440"/>
      </w:tabs>
      <w:spacing w:after="120"/>
      <w:ind w:left="1418" w:hanging="284"/>
    </w:pPr>
  </w:style>
  <w:style w:type="paragraph" w:customStyle="1" w:styleId="Tab-TextAufzhlung2">
    <w:name w:val="Tab-Text Aufzählung2"/>
    <w:basedOn w:val="Tab-Text"/>
    <w:pPr>
      <w:numPr>
        <w:numId w:val="5"/>
      </w:numPr>
      <w:spacing w:before="0"/>
      <w:ind w:left="714" w:hanging="357"/>
    </w:pPr>
  </w:style>
  <w:style w:type="paragraph" w:customStyle="1" w:styleId="Default">
    <w:name w:val="Default"/>
    <w:pPr>
      <w:autoSpaceDE w:val="0"/>
      <w:autoSpaceDN w:val="0"/>
      <w:adjustRightInd w:val="0"/>
    </w:pPr>
    <w:rPr>
      <w:rFonts w:ascii="Arial" w:hAnsi="Arial" w:cs="Arial"/>
      <w:lang w:val="en-US" w:eastAsia="en-US"/>
    </w:rPr>
  </w:style>
  <w:style w:type="paragraph" w:customStyle="1" w:styleId="Aufzhlung4">
    <w:name w:val="Aufzählung4"/>
    <w:basedOn w:val="BasisabsatzCharChar"/>
    <w:pPr>
      <w:numPr>
        <w:ilvl w:val="2"/>
        <w:numId w:val="8"/>
      </w:numPr>
      <w:tabs>
        <w:tab w:val="clear" w:pos="2160"/>
      </w:tabs>
      <w:ind w:left="1418" w:hanging="284"/>
    </w:pPr>
  </w:style>
  <w:style w:type="paragraph" w:customStyle="1" w:styleId="Folgetext">
    <w:name w:val="Folgetext"/>
    <w:basedOn w:val="BasisabsatzCharChar"/>
    <w:pPr>
      <w:spacing w:after="240"/>
      <w:ind w:left="1418"/>
    </w:pPr>
  </w:style>
  <w:style w:type="paragraph" w:customStyle="1" w:styleId="Folgetext2">
    <w:name w:val="Folgetext2"/>
    <w:basedOn w:val="Standard"/>
    <w:pPr>
      <w:spacing w:after="240"/>
      <w:ind w:left="1701"/>
    </w:pPr>
  </w:style>
  <w:style w:type="paragraph" w:customStyle="1" w:styleId="Nummerierung">
    <w:name w:val="Nummerierung"/>
    <w:basedOn w:val="Standard"/>
    <w:pPr>
      <w:numPr>
        <w:numId w:val="1"/>
      </w:numPr>
      <w:spacing w:after="120"/>
    </w:pPr>
  </w:style>
  <w:style w:type="paragraph" w:customStyle="1" w:styleId="Abbildungsverzeichnisberschrift">
    <w:name w:val="Abbildungsverzeichnisüberschrift"/>
    <w:basedOn w:val="Abbildungsberschrift"/>
  </w:style>
  <w:style w:type="paragraph" w:customStyle="1" w:styleId="Abbildungsberschrift">
    <w:name w:val="Abbildungsüberschrift"/>
    <w:basedOn w:val="Inhaltsberschrift"/>
  </w:style>
  <w:style w:type="paragraph" w:styleId="Abbildungsverzeichnis">
    <w:name w:val="table of figures"/>
    <w:basedOn w:val="Standard"/>
    <w:next w:val="Standard"/>
    <w:semiHidden/>
    <w:pPr>
      <w:ind w:left="440" w:hanging="440"/>
    </w:pPr>
  </w:style>
  <w:style w:type="paragraph" w:customStyle="1" w:styleId="Aufzhlung1-Folgetext">
    <w:name w:val="Aufzählung1-Folgetext"/>
    <w:basedOn w:val="Aufzhlung1"/>
    <w:pPr>
      <w:numPr>
        <w:numId w:val="0"/>
      </w:numPr>
      <w:ind w:left="1560"/>
    </w:pPr>
  </w:style>
  <w:style w:type="paragraph" w:customStyle="1" w:styleId="Aufzhlung2-Folgetext">
    <w:name w:val="Aufzählung2-Folgetext"/>
    <w:basedOn w:val="Aufzhlung1-Folgetext"/>
    <w:pPr>
      <w:ind w:left="1985"/>
    </w:pPr>
  </w:style>
  <w:style w:type="paragraph" w:customStyle="1" w:styleId="Aufzhlung3-Folgetext">
    <w:name w:val="Aufzählung3-Folgetext"/>
    <w:basedOn w:val="Aufzhlung2-Folgetext"/>
    <w:pPr>
      <w:ind w:left="2268"/>
    </w:pPr>
  </w:style>
  <w:style w:type="paragraph" w:customStyle="1" w:styleId="Bild">
    <w:name w:val="Bild"/>
    <w:basedOn w:val="Standard"/>
    <w:next w:val="Bildunterschrift"/>
    <w:pPr>
      <w:keepNext/>
      <w:keepLines/>
      <w:spacing w:before="480"/>
      <w:jc w:val="center"/>
    </w:pPr>
    <w:rPr>
      <w:sz w:val="20"/>
    </w:rPr>
  </w:style>
  <w:style w:type="paragraph" w:customStyle="1" w:styleId="Bildunterschrift">
    <w:name w:val="Bildunterschrift"/>
    <w:basedOn w:val="Standard"/>
    <w:next w:val="Standard"/>
    <w:pPr>
      <w:widowControl w:val="0"/>
      <w:spacing w:before="240"/>
      <w:jc w:val="center"/>
    </w:pPr>
    <w:rPr>
      <w:sz w:val="16"/>
    </w:rPr>
  </w:style>
  <w:style w:type="paragraph" w:customStyle="1" w:styleId="Tabellenunterschrift">
    <w:name w:val="Tabellenunterschrift"/>
    <w:basedOn w:val="Tab-Titel"/>
    <w:pPr>
      <w:jc w:val="center"/>
    </w:pPr>
  </w:style>
  <w:style w:type="paragraph" w:styleId="Textkrper">
    <w:name w:val="Body Text"/>
    <w:basedOn w:val="Standard"/>
    <w:link w:val="TextkrperZchn"/>
    <w:pPr>
      <w:widowControl w:val="0"/>
      <w:autoSpaceDE w:val="0"/>
      <w:autoSpaceDN w:val="0"/>
      <w:adjustRightInd w:val="0"/>
    </w:pPr>
    <w:rPr>
      <w:rFonts w:ascii="TimesNewRoman" w:hAnsi="TimesNewRoman"/>
      <w:color w:val="0000FF"/>
    </w:rPr>
  </w:style>
  <w:style w:type="paragraph" w:styleId="Textkrper-Zeileneinzug">
    <w:name w:val="Body Text Indent"/>
    <w:basedOn w:val="Standard"/>
    <w:pPr>
      <w:widowControl w:val="0"/>
      <w:autoSpaceDE w:val="0"/>
      <w:autoSpaceDN w:val="0"/>
      <w:adjustRightInd w:val="0"/>
      <w:ind w:left="1134" w:hanging="1134"/>
    </w:pPr>
    <w:rPr>
      <w:rFonts w:ascii="TimesNewRoman" w:hAnsi="TimesNewRoman"/>
      <w:color w:val="0000FF"/>
    </w:rPr>
  </w:style>
  <w:style w:type="character" w:styleId="Hyperlink">
    <w:name w:val="Hyperlink"/>
    <w:uiPriority w:val="99"/>
    <w:rPr>
      <w:color w:val="0000FF"/>
      <w:u w:val="single"/>
    </w:rPr>
  </w:style>
  <w:style w:type="paragraph" w:styleId="Funotentext">
    <w:name w:val="footnote text"/>
    <w:basedOn w:val="Standard"/>
    <w:semiHidden/>
    <w:rPr>
      <w:sz w:val="20"/>
    </w:rPr>
  </w:style>
  <w:style w:type="paragraph" w:styleId="Beschriftung">
    <w:name w:val="caption"/>
    <w:basedOn w:val="Standard"/>
    <w:next w:val="Standard"/>
    <w:uiPriority w:val="35"/>
    <w:qFormat/>
    <w:pPr>
      <w:spacing w:before="120" w:after="120"/>
    </w:pPr>
    <w:rPr>
      <w:b/>
      <w:bCs/>
      <w:sz w:val="20"/>
    </w:rPr>
  </w:style>
  <w:style w:type="paragraph" w:styleId="StandardWeb">
    <w:name w:val="Normal (Web)"/>
    <w:basedOn w:val="Standard"/>
    <w:uiPriority w:val="99"/>
    <w:pPr>
      <w:spacing w:before="100" w:beforeAutospacing="1" w:after="100" w:afterAutospacing="1"/>
    </w:pPr>
    <w:rPr>
      <w:rFonts w:ascii="Tahoma" w:hAnsi="Tahoma" w:cs="Tahoma"/>
      <w:color w:val="555555"/>
      <w:sz w:val="16"/>
      <w:szCs w:val="16"/>
      <w:lang w:val="en-US"/>
    </w:rPr>
  </w:style>
  <w:style w:type="character" w:customStyle="1" w:styleId="bodycopy1">
    <w:name w:val="bodycopy1"/>
    <w:rPr>
      <w:rFonts w:ascii="Arial" w:hAnsi="Arial" w:cs="Arial" w:hint="default"/>
      <w:strike w:val="0"/>
      <w:dstrike w:val="0"/>
      <w:color w:val="000000"/>
      <w:sz w:val="18"/>
      <w:szCs w:val="18"/>
      <w:u w:val="none"/>
      <w:effect w:val="none"/>
    </w:rPr>
  </w:style>
  <w:style w:type="character" w:customStyle="1" w:styleId="bodytext1">
    <w:name w:val="bodytext1"/>
    <w:rPr>
      <w:rFonts w:ascii="Verdana" w:hAnsi="Verdana" w:hint="default"/>
      <w:color w:val="003399"/>
      <w:sz w:val="15"/>
      <w:szCs w:val="15"/>
    </w:rPr>
  </w:style>
  <w:style w:type="paragraph" w:customStyle="1" w:styleId="head">
    <w:name w:val="head"/>
    <w:basedOn w:val="Standard"/>
    <w:pPr>
      <w:spacing w:before="100" w:beforeAutospacing="1" w:after="100" w:afterAutospacing="1"/>
    </w:pPr>
    <w:rPr>
      <w:rFonts w:ascii="Tahoma" w:hAnsi="Tahoma" w:cs="Tahoma"/>
      <w:b/>
      <w:bCs/>
      <w:color w:val="003366"/>
      <w:sz w:val="26"/>
      <w:szCs w:val="26"/>
      <w:lang w:val="en-US"/>
    </w:rPr>
  </w:style>
  <w:style w:type="character" w:styleId="Funotenzeichen">
    <w:name w:val="footnote reference"/>
    <w:semiHidden/>
    <w:rPr>
      <w:vertAlign w:val="superscript"/>
    </w:rPr>
  </w:style>
  <w:style w:type="character" w:styleId="BesuchterLink">
    <w:name w:val="FollowedHyperlink"/>
    <w:rPr>
      <w:color w:val="606420"/>
      <w:u w:val="single"/>
    </w:rPr>
  </w:style>
  <w:style w:type="paragraph" w:styleId="Textkrper3">
    <w:name w:val="Body Text 3"/>
    <w:basedOn w:val="Standard"/>
    <w:pPr>
      <w:spacing w:after="120"/>
    </w:pPr>
    <w:rPr>
      <w:sz w:val="16"/>
      <w:szCs w:val="16"/>
    </w:rPr>
  </w:style>
  <w:style w:type="paragraph" w:customStyle="1" w:styleId="berschriftoNr">
    <w:name w:val="Überschrift o.Nr."/>
    <w:basedOn w:val="Standard"/>
    <w:pPr>
      <w:spacing w:after="240"/>
    </w:pPr>
    <w:rPr>
      <w:b/>
      <w:noProof/>
      <w:sz w:val="28"/>
      <w:lang w:eastAsia="de-DE"/>
    </w:rPr>
  </w:style>
  <w:style w:type="paragraph" w:customStyle="1" w:styleId="Zwischenberschrift">
    <w:name w:val="Zwischenüberschrift"/>
    <w:basedOn w:val="Standard"/>
    <w:pPr>
      <w:spacing w:after="240"/>
    </w:pPr>
    <w:rPr>
      <w:b/>
      <w:lang w:eastAsia="de-DE"/>
    </w:rPr>
  </w:style>
  <w:style w:type="paragraph" w:styleId="Textkrper-Einzug2">
    <w:name w:val="Body Text Indent 2"/>
    <w:basedOn w:val="Standard"/>
    <w:pPr>
      <w:spacing w:after="120" w:line="480" w:lineRule="auto"/>
      <w:ind w:left="283"/>
    </w:pPr>
  </w:style>
  <w:style w:type="paragraph" w:styleId="Textkrper2">
    <w:name w:val="Body Text 2"/>
    <w:basedOn w:val="Standard"/>
    <w:pPr>
      <w:spacing w:after="120" w:line="480" w:lineRule="auto"/>
    </w:pPr>
  </w:style>
  <w:style w:type="paragraph" w:customStyle="1" w:styleId="Bullet1">
    <w:name w:val="Bullet 1"/>
    <w:basedOn w:val="Standard"/>
    <w:pPr>
      <w:numPr>
        <w:numId w:val="9"/>
      </w:numPr>
      <w:tabs>
        <w:tab w:val="clear" w:pos="360"/>
        <w:tab w:val="left" w:pos="284"/>
        <w:tab w:val="right" w:pos="9923"/>
      </w:tabs>
      <w:spacing w:before="120"/>
    </w:pPr>
  </w:style>
  <w:style w:type="paragraph" w:customStyle="1" w:styleId="Bullet10">
    <w:name w:val="Bullet 1#"/>
    <w:basedOn w:val="Bullet1"/>
    <w:pPr>
      <w:numPr>
        <w:numId w:val="10"/>
      </w:numPr>
      <w:tabs>
        <w:tab w:val="clear" w:pos="360"/>
      </w:tabs>
    </w:pPr>
  </w:style>
  <w:style w:type="paragraph" w:customStyle="1" w:styleId="FormHeader1">
    <w:name w:val="Form Header 1"/>
    <w:basedOn w:val="Standard"/>
    <w:next w:val="Standard"/>
    <w:pPr>
      <w:tabs>
        <w:tab w:val="right" w:pos="9923"/>
      </w:tabs>
      <w:spacing w:before="80" w:after="80"/>
    </w:pPr>
    <w:rPr>
      <w:b/>
      <w:sz w:val="24"/>
    </w:rPr>
  </w:style>
  <w:style w:type="paragraph" w:customStyle="1" w:styleId="FormHeader2">
    <w:name w:val="Form Header 2"/>
    <w:basedOn w:val="FormHeader1"/>
    <w:pPr>
      <w:spacing w:after="60"/>
    </w:pPr>
    <w:rPr>
      <w:sz w:val="20"/>
    </w:rPr>
  </w:style>
  <w:style w:type="paragraph" w:customStyle="1" w:styleId="FormText">
    <w:name w:val="Form Text"/>
    <w:basedOn w:val="Standard"/>
    <w:pPr>
      <w:tabs>
        <w:tab w:val="right" w:pos="9923"/>
      </w:tabs>
      <w:spacing w:before="120" w:after="80"/>
    </w:pPr>
  </w:style>
  <w:style w:type="paragraph" w:customStyle="1" w:styleId="Anwend-Hinw">
    <w:name w:val="Anwend-Hinw"/>
    <w:basedOn w:val="Standard"/>
    <w:pPr>
      <w:tabs>
        <w:tab w:val="right" w:pos="9923"/>
      </w:tabs>
      <w:spacing w:before="120"/>
    </w:pPr>
    <w:rPr>
      <w:color w:val="0000FF"/>
      <w:sz w:val="18"/>
    </w:rPr>
  </w:style>
  <w:style w:type="paragraph" w:customStyle="1" w:styleId="Erklrung">
    <w:name w:val="Erklärung"/>
    <w:basedOn w:val="Standard"/>
    <w:pPr>
      <w:tabs>
        <w:tab w:val="right" w:pos="9923"/>
      </w:tabs>
      <w:spacing w:before="120"/>
    </w:pPr>
    <w:rPr>
      <w:sz w:val="18"/>
    </w:rPr>
  </w:style>
  <w:style w:type="paragraph" w:customStyle="1" w:styleId="berschrift1o">
    <w:name w:val="Überschrift 1o"/>
    <w:basedOn w:val="berschrift1"/>
    <w:next w:val="Standard"/>
    <w:pPr>
      <w:pageBreakBefore w:val="0"/>
      <w:tabs>
        <w:tab w:val="right" w:pos="9923"/>
      </w:tabs>
      <w:spacing w:before="720" w:after="0" w:line="240" w:lineRule="auto"/>
      <w:ind w:left="0" w:firstLine="0"/>
      <w:outlineLvl w:val="9"/>
    </w:pPr>
    <w:rPr>
      <w:noProof w:val="0"/>
      <w:sz w:val="28"/>
    </w:rPr>
  </w:style>
  <w:style w:type="paragraph" w:customStyle="1" w:styleId="UsageHintsHd">
    <w:name w:val="Usage Hints Hd"/>
    <w:basedOn w:val="berschrift1"/>
    <w:next w:val="Standard"/>
    <w:pPr>
      <w:pageBreakBefore w:val="0"/>
      <w:numPr>
        <w:numId w:val="0"/>
      </w:numPr>
      <w:tabs>
        <w:tab w:val="right" w:pos="9923"/>
      </w:tabs>
      <w:spacing w:before="600" w:after="120" w:line="240" w:lineRule="auto"/>
      <w:outlineLvl w:val="9"/>
    </w:pPr>
    <w:rPr>
      <w:noProof w:val="0"/>
      <w:color w:val="0000FF"/>
      <w:sz w:val="28"/>
    </w:rPr>
  </w:style>
  <w:style w:type="paragraph" w:styleId="Standardeinzug">
    <w:name w:val="Normal Indent"/>
    <w:basedOn w:val="Standard"/>
    <w:pPr>
      <w:tabs>
        <w:tab w:val="right" w:pos="9923"/>
      </w:tabs>
      <w:spacing w:before="120"/>
      <w:ind w:left="851"/>
    </w:pPr>
    <w:rPr>
      <w:color w:val="000000"/>
    </w:rPr>
  </w:style>
  <w:style w:type="paragraph" w:styleId="Textkrper-Einzug3">
    <w:name w:val="Body Text Indent 3"/>
    <w:basedOn w:val="Standard"/>
    <w:pPr>
      <w:spacing w:after="120"/>
      <w:ind w:left="283"/>
    </w:pPr>
    <w:rPr>
      <w:sz w:val="16"/>
      <w:szCs w:val="16"/>
    </w:rPr>
  </w:style>
  <w:style w:type="paragraph" w:customStyle="1" w:styleId="Auflistung">
    <w:name w:val="Auflistung"/>
    <w:basedOn w:val="Standard"/>
    <w:pPr>
      <w:numPr>
        <w:numId w:val="12"/>
      </w:numPr>
      <w:spacing w:before="120" w:after="120"/>
      <w:jc w:val="both"/>
    </w:pPr>
    <w:rPr>
      <w:rFonts w:ascii="Times New Roman" w:hAnsi="Times New Roman"/>
      <w:sz w:val="24"/>
      <w:lang w:eastAsia="de-DE"/>
    </w:rPr>
  </w:style>
  <w:style w:type="paragraph" w:customStyle="1" w:styleId="Einrckung">
    <w:name w:val="Einrückung"/>
    <w:basedOn w:val="Standard"/>
    <w:pPr>
      <w:numPr>
        <w:numId w:val="11"/>
      </w:numPr>
      <w:spacing w:before="120" w:after="120" w:line="360" w:lineRule="auto"/>
      <w:jc w:val="both"/>
    </w:pPr>
    <w:rPr>
      <w:b/>
      <w:sz w:val="24"/>
      <w:lang w:eastAsia="de-DE"/>
    </w:rPr>
  </w:style>
  <w:style w:type="paragraph" w:customStyle="1" w:styleId="Achievement">
    <w:name w:val="Achievement"/>
    <w:basedOn w:val="Textkrper"/>
    <w:pPr>
      <w:widowControl/>
      <w:autoSpaceDE/>
      <w:autoSpaceDN/>
      <w:adjustRightInd/>
      <w:spacing w:after="60" w:line="220" w:lineRule="atLeast"/>
      <w:ind w:left="240" w:hanging="240"/>
      <w:jc w:val="both"/>
    </w:pPr>
    <w:rPr>
      <w:rFonts w:ascii="Arial" w:hAnsi="Arial"/>
      <w:color w:val="auto"/>
      <w:spacing w:val="-5"/>
      <w:sz w:val="20"/>
      <w:lang w:val="en-US" w:eastAsia="de-DE"/>
    </w:rPr>
  </w:style>
  <w:style w:type="paragraph" w:styleId="Blocktext">
    <w:name w:val="Block Text"/>
    <w:basedOn w:val="Standard"/>
    <w:pPr>
      <w:spacing w:line="240" w:lineRule="exact"/>
      <w:ind w:left="355" w:right="-58"/>
      <w:jc w:val="both"/>
    </w:pPr>
    <w:rPr>
      <w:sz w:val="20"/>
      <w:lang w:val="en-US" w:eastAsia="de-DE"/>
    </w:rPr>
  </w:style>
  <w:style w:type="character" w:customStyle="1" w:styleId="BasisabsatzCharCharChar">
    <w:name w:val="Basisabsatz Char Char Char"/>
    <w:rPr>
      <w:rFonts w:ascii="Arial" w:hAnsi="Arial"/>
      <w:sz w:val="22"/>
      <w:lang w:val="de-DE" w:eastAsia="en-US" w:bidi="ar-SA"/>
    </w:rPr>
  </w:style>
  <w:style w:type="character" w:customStyle="1" w:styleId="berschrift1CharChar">
    <w:name w:val="Überschrift 1 Char Char"/>
    <w:aliases w:val="Headline1:Überschrift 1 Char Char,Überschrift 0 Char Char,Header 1 Char Char,Chapter Char Char,H1 Char Char,Heading 1 Char Char,Heading 10 Char Char,Head1 Char Char,Heading apps Char Char,Heading 101 Char Char,Head11 Char Char"/>
    <w:uiPriority w:val="99"/>
    <w:rPr>
      <w:rFonts w:ascii="Arial" w:hAnsi="Arial"/>
      <w:b/>
      <w:noProof/>
      <w:sz w:val="32"/>
      <w:lang w:val="de-DE" w:eastAsia="en-US" w:bidi="ar-SA"/>
    </w:rPr>
  </w:style>
  <w:style w:type="character" w:customStyle="1" w:styleId="berschrift2Char">
    <w:name w:val="Überschrift 2 Char"/>
    <w:aliases w:val="Headline 2 Char,Gliederung2 Char,Header 2 Char,H2 Char,H21 Char,H22 Char,H23 Char,H24 Char,H25 Char,H26 Char,H27 Char,H28 Char,H29 Char,H210 Char,H211 Char,H212 Char,H213 Char,H221 Char,H231 Char,H241 Char,H251 Char,H261 Char,l2 Char"/>
    <w:rPr>
      <w:rFonts w:ascii="Arial" w:hAnsi="Arial"/>
      <w:b w:val="0"/>
      <w:noProof/>
      <w:sz w:val="28"/>
      <w:lang w:val="de-DE" w:eastAsia="en-US" w:bidi="ar-SA"/>
    </w:rPr>
  </w:style>
  <w:style w:type="character" w:customStyle="1" w:styleId="berschrift3Char">
    <w:name w:val="Überschrift 3 Char"/>
    <w:aliases w:val="Gliederung3 Char,Header 3 Char,Header3 Char,H3 Char,h3 Char,Gliederung31 Char,H3&lt;------------------ Char,a_Heading 3 Char,Headline 3 Char,heading 3 Char,3 Char,l3 Char,subhead Char,1. Char,TF-Overskrift 3 Char,L3 Char,HHHeading Char"/>
    <w:rPr>
      <w:rFonts w:ascii="Arial" w:hAnsi="Arial"/>
      <w:b w:val="0"/>
      <w:noProof/>
      <w:sz w:val="24"/>
      <w:lang w:val="de-DE" w:eastAsia="en-US" w:bidi="ar-SA"/>
    </w:rPr>
  </w:style>
  <w:style w:type="character" w:customStyle="1" w:styleId="berschrift4Char">
    <w:name w:val="Überschrift 4 Char"/>
    <w:aliases w:val="Header 4 Char,H4 Char,Headline4 Char,h4 Char,a. Char,Sub sub heading Char,4 Char,h41 Char,a.1 Char,H41 Char,41 Char,Level 2 - a Char,Map para Char,Map Title Char,h42 Char,a.2 Char,H42 Char,42 Char,h43 Char,a.3 Char,H43 Char,43 Char"/>
    <w:rPr>
      <w:rFonts w:ascii="Arial" w:hAnsi="Arial"/>
      <w:b w:val="0"/>
      <w:noProof/>
      <w:sz w:val="24"/>
      <w:lang w:val="de-DE" w:eastAsia="de-DE" w:bidi="ar-SA"/>
    </w:rPr>
  </w:style>
  <w:style w:type="character" w:customStyle="1" w:styleId="berschrift1Headline1berschrift1berschrift0Header1ChapterH1Heading1Heading10Head1HeadingappsHeading101Head11Headingapps1berschrift1ohneberschrift1aberschrift1a1berschrift1ohne1h1OdsKap1OdsKap1berschriftIIChar">
    <w:name w:val="Überschrift 1;Headline1:Überschrift 1;Überschrift 0;Header 1;Chapter;H1;Heading 1;Heading 10;Head1;Heading apps;Heading 101;Head11;Heading apps1;Überschrift 1 ohne;Überschrift 1a;Überschrift 1a1;Überschrift 1 ohne1;h1;OdsKap1;OdsKap1Überschrift;II+ Char"/>
    <w:rPr>
      <w:rFonts w:ascii="Arial" w:hAnsi="Arial"/>
      <w:b/>
      <w:noProof/>
      <w:sz w:val="32"/>
      <w:lang w:val="de-DE" w:eastAsia="en-US" w:bidi="ar-SA"/>
    </w:rPr>
  </w:style>
  <w:style w:type="character" w:customStyle="1" w:styleId="berschrift2Headline2Gliederung2Header2H2H21H22H23H24H25H26H27H28H29H210H211H212H213H221H231H241H251H261H271H281H291H2101H2111H2121H214H222H232H242H252H262H272H282H292H2102H2112H2122H215H223H233H243H2Char">
    <w:name w:val="Überschrift 2;Headline 2;Gliederung2;Header 2;H2;H21;H22;H23;H24;H25;H26;H27;H28;H29;H210;H211;H212;H213;H221;H231;H241;H251;H261;H271;H281;H291;H2101;H2111;H2121;H214;H222;H232;H242;H252;H262;H272;H282;H292;H2102;H2112;H2122;H215;H223;H233;H243;H2 Char"/>
    <w:rPr>
      <w:rFonts w:ascii="Arial" w:hAnsi="Arial"/>
      <w:b/>
      <w:noProof/>
      <w:sz w:val="28"/>
      <w:lang w:val="de-DE" w:eastAsia="en-US" w:bidi="ar-SA"/>
    </w:rPr>
  </w:style>
  <w:style w:type="paragraph" w:customStyle="1" w:styleId="Rmisch">
    <w:name w:val="Römisch"/>
    <w:basedOn w:val="Standard"/>
    <w:pPr>
      <w:keepNext/>
      <w:keepLines/>
      <w:pageBreakBefore/>
      <w:tabs>
        <w:tab w:val="left" w:pos="432"/>
        <w:tab w:val="left" w:pos="864"/>
        <w:tab w:val="left" w:pos="4608"/>
        <w:tab w:val="left" w:pos="6480"/>
      </w:tabs>
      <w:spacing w:line="360" w:lineRule="atLeast"/>
      <w:jc w:val="center"/>
    </w:pPr>
    <w:rPr>
      <w:b/>
      <w:sz w:val="36"/>
      <w:lang w:eastAsia="de-DE"/>
    </w:rPr>
  </w:style>
  <w:style w:type="paragraph" w:customStyle="1" w:styleId="Basisabsatz">
    <w:name w:val="Basisabsatz"/>
    <w:pPr>
      <w:spacing w:after="120" w:line="360" w:lineRule="auto"/>
      <w:ind w:left="1134"/>
    </w:pPr>
    <w:rPr>
      <w:rFonts w:ascii="Arial" w:hAnsi="Arial"/>
      <w:sz w:val="22"/>
      <w:lang w:eastAsia="en-US"/>
    </w:rPr>
  </w:style>
  <w:style w:type="character" w:styleId="Kommentarzeichen">
    <w:name w:val="annotation reference"/>
    <w:uiPriority w:val="99"/>
    <w:semiHidden/>
    <w:rPr>
      <w:sz w:val="16"/>
      <w:szCs w:val="16"/>
    </w:rPr>
  </w:style>
  <w:style w:type="paragraph" w:styleId="Kommentartext">
    <w:name w:val="annotation text"/>
    <w:basedOn w:val="Standard"/>
    <w:link w:val="KommentartextZchn"/>
    <w:uiPriority w:val="99"/>
    <w:semiHidden/>
    <w:rPr>
      <w:rFonts w:ascii="Times New Roman" w:hAnsi="Times New Roman"/>
      <w:sz w:val="20"/>
      <w:lang w:eastAsia="de-DE"/>
    </w:rPr>
  </w:style>
  <w:style w:type="paragraph" w:customStyle="1" w:styleId="Aufzhlung">
    <w:name w:val="Aufzählung"/>
    <w:basedOn w:val="Textkrper"/>
    <w:next w:val="Textkrper"/>
    <w:pPr>
      <w:widowControl/>
      <w:autoSpaceDE/>
      <w:autoSpaceDN/>
      <w:adjustRightInd/>
      <w:spacing w:line="360" w:lineRule="exact"/>
      <w:ind w:left="1134" w:hanging="283"/>
    </w:pPr>
    <w:rPr>
      <w:rFonts w:ascii="Arial" w:hAnsi="Arial"/>
      <w:color w:val="auto"/>
      <w:sz w:val="24"/>
      <w:lang w:eastAsia="de-DE"/>
    </w:rPr>
  </w:style>
  <w:style w:type="paragraph" w:styleId="Aufzhlungszeichen">
    <w:name w:val="List Bullet"/>
    <w:basedOn w:val="Standard"/>
    <w:autoRedefine/>
    <w:pPr>
      <w:tabs>
        <w:tab w:val="num" w:pos="720"/>
      </w:tabs>
      <w:ind w:left="720" w:hanging="360"/>
    </w:pPr>
    <w:rPr>
      <w:sz w:val="24"/>
      <w:szCs w:val="24"/>
      <w:lang w:eastAsia="de-DE"/>
    </w:rPr>
  </w:style>
  <w:style w:type="paragraph" w:customStyle="1" w:styleId="Kopfzeilelinks">
    <w:name w:val="Kopfzeile_links"/>
    <w:rPr>
      <w:rFonts w:ascii="Arial" w:hAnsi="Arial"/>
      <w:b/>
      <w:i/>
    </w:rPr>
  </w:style>
  <w:style w:type="paragraph" w:customStyle="1" w:styleId="Kopfzeilemitte">
    <w:name w:val="Kopfzeile_mitte"/>
    <w:rPr>
      <w:rFonts w:ascii="Arial" w:hAnsi="Arial"/>
      <w:b/>
      <w:noProof/>
    </w:rPr>
  </w:style>
  <w:style w:type="paragraph" w:customStyle="1" w:styleId="Bezug">
    <w:name w:val="Bezug"/>
    <w:next w:val="Standard"/>
    <w:rPr>
      <w:sz w:val="24"/>
    </w:rPr>
  </w:style>
  <w:style w:type="paragraph" w:customStyle="1" w:styleId="Hauptb">
    <w:name w:val="Hauptüb"/>
    <w:basedOn w:val="Standard"/>
    <w:next w:val="berschr"/>
    <w:pPr>
      <w:widowControl w:val="0"/>
      <w:jc w:val="both"/>
    </w:pPr>
    <w:rPr>
      <w:b/>
      <w:sz w:val="30"/>
      <w:lang w:eastAsia="de-DE"/>
    </w:rPr>
  </w:style>
  <w:style w:type="paragraph" w:customStyle="1" w:styleId="berschr">
    <w:name w:val="Überschr"/>
    <w:basedOn w:val="Standard"/>
    <w:next w:val="Standard"/>
    <w:pPr>
      <w:keepNext/>
      <w:widowControl w:val="0"/>
      <w:tabs>
        <w:tab w:val="left" w:pos="4536"/>
        <w:tab w:val="left" w:pos="4820"/>
      </w:tabs>
      <w:spacing w:before="400" w:after="80"/>
      <w:jc w:val="both"/>
    </w:pPr>
    <w:rPr>
      <w:b/>
      <w:sz w:val="24"/>
      <w:lang w:eastAsia="de-DE"/>
    </w:rPr>
  </w:style>
  <w:style w:type="paragraph" w:customStyle="1" w:styleId="Textkrper21">
    <w:name w:val="Textkörper 21"/>
    <w:basedOn w:val="Standard"/>
    <w:pPr>
      <w:tabs>
        <w:tab w:val="left" w:pos="927"/>
      </w:tabs>
      <w:ind w:left="397" w:firstLine="170"/>
    </w:pPr>
    <w:rPr>
      <w:sz w:val="24"/>
      <w:lang w:eastAsia="de-DE"/>
    </w:rPr>
  </w:style>
  <w:style w:type="paragraph" w:styleId="Kommentarthema">
    <w:name w:val="annotation subject"/>
    <w:basedOn w:val="Kommentartext"/>
    <w:next w:val="Kommentartext"/>
    <w:semiHidden/>
    <w:rPr>
      <w:rFonts w:ascii="Arial" w:hAnsi="Arial"/>
      <w:b/>
      <w:bCs/>
      <w:lang w:eastAsia="en-US"/>
    </w:rPr>
  </w:style>
  <w:style w:type="paragraph" w:styleId="Sprechblasentext">
    <w:name w:val="Balloon Text"/>
    <w:basedOn w:val="Standard"/>
    <w:semiHidden/>
    <w:rPr>
      <w:rFonts w:ascii="Tahoma" w:hAnsi="Tahoma" w:cs="Tahoma"/>
      <w:sz w:val="16"/>
      <w:szCs w:val="16"/>
    </w:rPr>
  </w:style>
  <w:style w:type="paragraph" w:customStyle="1" w:styleId="Normal1">
    <w:name w:val="Normal 1"/>
    <w:basedOn w:val="Standard"/>
    <w:pPr>
      <w:tabs>
        <w:tab w:val="left" w:pos="284"/>
        <w:tab w:val="left" w:pos="568"/>
        <w:tab w:val="left" w:pos="851"/>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pPr>
    <w:rPr>
      <w:sz w:val="24"/>
      <w:lang w:eastAsia="de-DE"/>
    </w:rPr>
  </w:style>
  <w:style w:type="paragraph" w:customStyle="1" w:styleId="Text">
    <w:name w:val="Text"/>
    <w:pPr>
      <w:spacing w:after="100" w:line="300" w:lineRule="auto"/>
      <w:ind w:left="851"/>
      <w:jc w:val="both"/>
    </w:pPr>
    <w:rPr>
      <w:rFonts w:ascii="Arial" w:hAnsi="Arial"/>
      <w:sz w:val="22"/>
    </w:rPr>
  </w:style>
  <w:style w:type="paragraph" w:customStyle="1" w:styleId="Rub2">
    <w:name w:val="Rub2"/>
    <w:basedOn w:val="Standard"/>
    <w:next w:val="Standard"/>
    <w:pPr>
      <w:tabs>
        <w:tab w:val="left" w:pos="709"/>
        <w:tab w:val="left" w:pos="5670"/>
        <w:tab w:val="left" w:pos="6663"/>
        <w:tab w:val="left" w:pos="7088"/>
      </w:tabs>
      <w:spacing w:before="120" w:after="240"/>
      <w:ind w:left="709" w:right="-595" w:hanging="709"/>
    </w:pPr>
    <w:rPr>
      <w:rFonts w:cs="Arial"/>
      <w:b/>
      <w:smallCaps/>
      <w:lang w:eastAsia="de-DE"/>
    </w:rPr>
  </w:style>
  <w:style w:type="paragraph" w:styleId="Datum">
    <w:name w:val="Date"/>
    <w:basedOn w:val="Standard"/>
    <w:next w:val="Standard"/>
    <w:pPr>
      <w:spacing w:after="240"/>
      <w:jc w:val="both"/>
    </w:pPr>
    <w:rPr>
      <w:rFonts w:ascii="Times New Roman" w:hAnsi="Times New Roman"/>
      <w:sz w:val="24"/>
      <w:lang w:eastAsia="de-DE"/>
    </w:rPr>
  </w:style>
  <w:style w:type="paragraph" w:customStyle="1" w:styleId="xl24">
    <w:name w:val="xl24"/>
    <w:basedOn w:val="Standard"/>
    <w:pPr>
      <w:spacing w:before="100" w:beforeAutospacing="1" w:after="100" w:afterAutospacing="1"/>
    </w:pPr>
    <w:rPr>
      <w:rFonts w:eastAsia="Arial Unicode MS" w:cs="Arial"/>
      <w:sz w:val="20"/>
      <w:lang w:eastAsia="de-DE"/>
    </w:rPr>
  </w:style>
  <w:style w:type="paragraph" w:customStyle="1" w:styleId="xl25">
    <w:name w:val="xl25"/>
    <w:basedOn w:val="Standard"/>
    <w:pPr>
      <w:spacing w:before="100" w:beforeAutospacing="1" w:after="100" w:afterAutospacing="1"/>
      <w:jc w:val="center"/>
    </w:pPr>
    <w:rPr>
      <w:rFonts w:eastAsia="Arial Unicode MS" w:cs="Arial"/>
      <w:sz w:val="20"/>
      <w:lang w:eastAsia="de-DE"/>
    </w:rPr>
  </w:style>
  <w:style w:type="paragraph" w:customStyle="1" w:styleId="berschrift10">
    <w:name w:val="Überschrift1."/>
    <w:basedOn w:val="Standard"/>
    <w:autoRedefine/>
    <w:pPr>
      <w:spacing w:line="360" w:lineRule="exact"/>
      <w:jc w:val="both"/>
    </w:pPr>
    <w:rPr>
      <w:sz w:val="24"/>
      <w:lang w:eastAsia="de-DE"/>
    </w:rPr>
  </w:style>
  <w:style w:type="paragraph" w:customStyle="1" w:styleId="Textkrper-Einzug21">
    <w:name w:val="Textkörper-Einzug 21"/>
    <w:basedOn w:val="Standard"/>
    <w:pPr>
      <w:ind w:left="709"/>
      <w:jc w:val="both"/>
    </w:pPr>
    <w:rPr>
      <w:rFonts w:ascii="Times New Roman" w:hAnsi="Times New Roman"/>
      <w:sz w:val="24"/>
      <w:lang w:eastAsia="de-DE"/>
    </w:rPr>
  </w:style>
  <w:style w:type="paragraph" w:customStyle="1" w:styleId="Abbildung">
    <w:name w:val="Abbildung"/>
    <w:basedOn w:val="Standard"/>
    <w:next w:val="Standard"/>
    <w:pPr>
      <w:widowControl w:val="0"/>
      <w:spacing w:before="240"/>
      <w:jc w:val="both"/>
    </w:pPr>
    <w:rPr>
      <w:lang w:eastAsia="de-DE"/>
    </w:rPr>
  </w:style>
  <w:style w:type="paragraph" w:customStyle="1" w:styleId="xl26">
    <w:name w:val="xl26"/>
    <w:basedOn w:val="Standard"/>
    <w:pPr>
      <w:spacing w:before="100" w:beforeAutospacing="1" w:after="100" w:afterAutospacing="1"/>
    </w:pPr>
    <w:rPr>
      <w:rFonts w:eastAsia="Arial Unicode MS" w:cs="Arial"/>
      <w:b/>
      <w:bCs/>
      <w:sz w:val="16"/>
      <w:szCs w:val="16"/>
      <w:lang w:eastAsia="de-DE"/>
    </w:rPr>
  </w:style>
  <w:style w:type="paragraph" w:customStyle="1" w:styleId="font5">
    <w:name w:val="font5"/>
    <w:basedOn w:val="Standard"/>
    <w:pPr>
      <w:spacing w:before="100" w:beforeAutospacing="1" w:after="100" w:afterAutospacing="1"/>
    </w:pPr>
    <w:rPr>
      <w:rFonts w:eastAsia="Arial Unicode MS" w:cs="Arial"/>
      <w:sz w:val="20"/>
      <w:lang w:eastAsia="de-DE"/>
    </w:rPr>
  </w:style>
  <w:style w:type="paragraph" w:customStyle="1" w:styleId="font6">
    <w:name w:val="font6"/>
    <w:basedOn w:val="Standard"/>
    <w:pPr>
      <w:spacing w:before="100" w:beforeAutospacing="1" w:after="100" w:afterAutospacing="1"/>
    </w:pPr>
    <w:rPr>
      <w:rFonts w:eastAsia="Arial Unicode MS" w:cs="Arial"/>
      <w:sz w:val="14"/>
      <w:szCs w:val="14"/>
      <w:lang w:eastAsia="de-DE"/>
    </w:rPr>
  </w:style>
  <w:style w:type="paragraph" w:customStyle="1" w:styleId="xl27">
    <w:name w:val="xl27"/>
    <w:basedOn w:val="Standard"/>
    <w:pPr>
      <w:pBdr>
        <w:right w:val="single" w:sz="8" w:space="0" w:color="auto"/>
      </w:pBdr>
      <w:spacing w:before="100" w:beforeAutospacing="1" w:after="100" w:afterAutospacing="1"/>
      <w:ind w:firstLineChars="400" w:firstLine="400"/>
      <w:textAlignment w:val="top"/>
    </w:pPr>
    <w:rPr>
      <w:rFonts w:eastAsia="Arial Unicode MS" w:cs="Arial"/>
      <w:sz w:val="24"/>
      <w:szCs w:val="24"/>
      <w:lang w:eastAsia="de-DE"/>
    </w:rPr>
  </w:style>
  <w:style w:type="paragraph" w:customStyle="1" w:styleId="xl28">
    <w:name w:val="xl28"/>
    <w:basedOn w:val="Standard"/>
    <w:pPr>
      <w:pBdr>
        <w:right w:val="single" w:sz="8" w:space="0" w:color="auto"/>
      </w:pBdr>
      <w:spacing w:before="100" w:beforeAutospacing="1" w:after="100" w:afterAutospacing="1"/>
    </w:pPr>
    <w:rPr>
      <w:rFonts w:eastAsia="Arial Unicode MS" w:cs="Arial"/>
      <w:sz w:val="24"/>
      <w:szCs w:val="24"/>
      <w:lang w:eastAsia="de-DE"/>
    </w:rPr>
  </w:style>
  <w:style w:type="paragraph" w:customStyle="1" w:styleId="xl29">
    <w:name w:val="xl29"/>
    <w:basedOn w:val="Standard"/>
    <w:pPr>
      <w:pBdr>
        <w:right w:val="single" w:sz="8" w:space="0" w:color="auto"/>
      </w:pBdr>
      <w:spacing w:before="100" w:beforeAutospacing="1" w:after="100" w:afterAutospacing="1"/>
      <w:ind w:firstLineChars="200" w:firstLine="200"/>
      <w:textAlignment w:val="top"/>
    </w:pPr>
    <w:rPr>
      <w:rFonts w:eastAsia="Arial Unicode MS" w:cs="Arial"/>
      <w:i/>
      <w:iCs/>
      <w:sz w:val="24"/>
      <w:szCs w:val="24"/>
      <w:lang w:eastAsia="de-DE"/>
    </w:rPr>
  </w:style>
  <w:style w:type="paragraph" w:customStyle="1" w:styleId="xl30">
    <w:name w:val="xl30"/>
    <w:basedOn w:val="Standard"/>
    <w:pPr>
      <w:pBdr>
        <w:right w:val="single" w:sz="8" w:space="0" w:color="auto"/>
      </w:pBdr>
      <w:spacing w:before="100" w:beforeAutospacing="1" w:after="100" w:afterAutospacing="1"/>
      <w:ind w:firstLineChars="100" w:firstLine="100"/>
      <w:textAlignment w:val="top"/>
    </w:pPr>
    <w:rPr>
      <w:rFonts w:eastAsia="Arial Unicode MS" w:cs="Arial"/>
      <w:i/>
      <w:iCs/>
      <w:sz w:val="24"/>
      <w:szCs w:val="24"/>
      <w:lang w:eastAsia="de-DE"/>
    </w:rPr>
  </w:style>
  <w:style w:type="paragraph" w:customStyle="1" w:styleId="xl31">
    <w:name w:val="xl31"/>
    <w:basedOn w:val="Standard"/>
    <w:pPr>
      <w:pBdr>
        <w:top w:val="single" w:sz="8" w:space="0" w:color="auto"/>
        <w:bottom w:val="single" w:sz="8" w:space="0" w:color="auto"/>
        <w:right w:val="single" w:sz="8" w:space="0" w:color="auto"/>
      </w:pBdr>
      <w:spacing w:before="100" w:beforeAutospacing="1" w:after="100" w:afterAutospacing="1"/>
    </w:pPr>
    <w:rPr>
      <w:rFonts w:eastAsia="Arial Unicode MS" w:cs="Arial"/>
      <w:sz w:val="24"/>
      <w:szCs w:val="24"/>
      <w:lang w:eastAsia="de-DE"/>
    </w:rPr>
  </w:style>
  <w:style w:type="paragraph" w:customStyle="1" w:styleId="xl32">
    <w:name w:val="xl32"/>
    <w:basedOn w:val="Standard"/>
    <w:pPr>
      <w:pBdr>
        <w:top w:val="single" w:sz="8" w:space="0" w:color="auto"/>
        <w:bottom w:val="single" w:sz="8" w:space="0" w:color="auto"/>
        <w:right w:val="single" w:sz="8" w:space="0" w:color="auto"/>
      </w:pBdr>
      <w:spacing w:before="100" w:beforeAutospacing="1" w:after="100" w:afterAutospacing="1"/>
      <w:textAlignment w:val="top"/>
    </w:pPr>
    <w:rPr>
      <w:rFonts w:eastAsia="Arial Unicode MS" w:cs="Arial"/>
      <w:sz w:val="24"/>
      <w:szCs w:val="24"/>
      <w:lang w:eastAsia="de-DE"/>
    </w:rPr>
  </w:style>
  <w:style w:type="paragraph" w:customStyle="1" w:styleId="xl33">
    <w:name w:val="xl33"/>
    <w:basedOn w:val="Standard"/>
    <w:pPr>
      <w:pBdr>
        <w:right w:val="single" w:sz="8" w:space="0" w:color="auto"/>
      </w:pBdr>
      <w:spacing w:before="100" w:beforeAutospacing="1" w:after="100" w:afterAutospacing="1"/>
      <w:ind w:firstLineChars="400" w:firstLine="400"/>
      <w:textAlignment w:val="top"/>
    </w:pPr>
    <w:rPr>
      <w:rFonts w:eastAsia="Arial Unicode MS" w:cs="Arial"/>
      <w:szCs w:val="22"/>
      <w:lang w:eastAsia="de-DE"/>
    </w:rPr>
  </w:style>
  <w:style w:type="paragraph" w:customStyle="1" w:styleId="xl34">
    <w:name w:val="xl34"/>
    <w:basedOn w:val="Standard"/>
    <w:pPr>
      <w:pBdr>
        <w:bottom w:val="single" w:sz="8" w:space="0" w:color="auto"/>
        <w:right w:val="single" w:sz="8" w:space="0" w:color="auto"/>
      </w:pBdr>
      <w:spacing w:before="100" w:beforeAutospacing="1" w:after="100" w:afterAutospacing="1"/>
      <w:textAlignment w:val="top"/>
    </w:pPr>
    <w:rPr>
      <w:rFonts w:eastAsia="Arial Unicode MS" w:cs="Arial"/>
      <w:sz w:val="24"/>
      <w:szCs w:val="24"/>
      <w:lang w:eastAsia="de-DE"/>
    </w:rPr>
  </w:style>
  <w:style w:type="paragraph" w:customStyle="1" w:styleId="xl35">
    <w:name w:val="xl35"/>
    <w:basedOn w:val="Standard"/>
    <w:pPr>
      <w:pBdr>
        <w:bottom w:val="single" w:sz="8" w:space="0" w:color="auto"/>
        <w:right w:val="single" w:sz="8" w:space="0" w:color="auto"/>
      </w:pBdr>
      <w:spacing w:before="100" w:beforeAutospacing="1" w:after="100" w:afterAutospacing="1"/>
      <w:ind w:firstLineChars="400" w:firstLine="400"/>
      <w:textAlignment w:val="top"/>
    </w:pPr>
    <w:rPr>
      <w:rFonts w:eastAsia="Arial Unicode MS" w:cs="Arial"/>
      <w:sz w:val="24"/>
      <w:szCs w:val="24"/>
      <w:lang w:eastAsia="de-DE"/>
    </w:rPr>
  </w:style>
  <w:style w:type="paragraph" w:customStyle="1" w:styleId="xl36">
    <w:name w:val="xl36"/>
    <w:basedOn w:val="Standard"/>
    <w:pPr>
      <w:pBdr>
        <w:bottom w:val="single" w:sz="4" w:space="0" w:color="auto"/>
        <w:right w:val="single" w:sz="8" w:space="0" w:color="auto"/>
      </w:pBdr>
      <w:spacing w:before="100" w:beforeAutospacing="1" w:after="100" w:afterAutospacing="1"/>
      <w:ind w:firstLineChars="400" w:firstLine="400"/>
      <w:textAlignment w:val="top"/>
    </w:pPr>
    <w:rPr>
      <w:rFonts w:eastAsia="Arial Unicode MS" w:cs="Arial"/>
      <w:sz w:val="24"/>
      <w:szCs w:val="24"/>
      <w:lang w:eastAsia="de-DE"/>
    </w:rPr>
  </w:style>
  <w:style w:type="paragraph" w:customStyle="1" w:styleId="xl37">
    <w:name w:val="xl37"/>
    <w:basedOn w:val="Standard"/>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eastAsia="Arial Unicode MS" w:cs="Arial"/>
      <w:b/>
      <w:bCs/>
      <w:sz w:val="28"/>
      <w:szCs w:val="28"/>
      <w:lang w:eastAsia="de-DE"/>
    </w:rPr>
  </w:style>
  <w:style w:type="paragraph" w:customStyle="1" w:styleId="xl38">
    <w:name w:val="xl38"/>
    <w:basedOn w:val="Standard"/>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eastAsia="Arial Unicode MS" w:cs="Arial"/>
      <w:b/>
      <w:bCs/>
      <w:color w:val="000000"/>
      <w:sz w:val="28"/>
      <w:szCs w:val="28"/>
      <w:lang w:eastAsia="de-DE"/>
    </w:rPr>
  </w:style>
  <w:style w:type="paragraph" w:customStyle="1" w:styleId="xl39">
    <w:name w:val="xl39"/>
    <w:basedOn w:val="Standard"/>
    <w:pPr>
      <w:pBdr>
        <w:left w:val="single" w:sz="8" w:space="0" w:color="auto"/>
        <w:right w:val="single" w:sz="4" w:space="0" w:color="auto"/>
      </w:pBdr>
      <w:spacing w:before="100" w:beforeAutospacing="1" w:after="100" w:afterAutospacing="1"/>
      <w:jc w:val="center"/>
      <w:textAlignment w:val="top"/>
    </w:pPr>
    <w:rPr>
      <w:rFonts w:eastAsia="Arial Unicode MS" w:cs="Arial"/>
      <w:b/>
      <w:bCs/>
      <w:sz w:val="28"/>
      <w:szCs w:val="28"/>
      <w:lang w:eastAsia="de-DE"/>
    </w:rPr>
  </w:style>
  <w:style w:type="paragraph" w:customStyle="1" w:styleId="xl40">
    <w:name w:val="xl40"/>
    <w:basedOn w:val="Standard"/>
    <w:pPr>
      <w:pBdr>
        <w:right w:val="single" w:sz="8" w:space="0" w:color="auto"/>
      </w:pBdr>
      <w:spacing w:before="100" w:beforeAutospacing="1" w:after="100" w:afterAutospacing="1"/>
      <w:ind w:firstLineChars="400" w:firstLine="400"/>
      <w:textAlignment w:val="top"/>
    </w:pPr>
    <w:rPr>
      <w:rFonts w:eastAsia="Arial Unicode MS" w:cs="Arial"/>
      <w:sz w:val="14"/>
      <w:szCs w:val="14"/>
      <w:lang w:eastAsia="de-DE"/>
    </w:rPr>
  </w:style>
  <w:style w:type="paragraph" w:customStyle="1" w:styleId="xl41">
    <w:name w:val="xl41"/>
    <w:basedOn w:val="Standard"/>
    <w:pPr>
      <w:pBdr>
        <w:top w:val="single" w:sz="8" w:space="0" w:color="auto"/>
        <w:left w:val="single" w:sz="4" w:space="0" w:color="auto"/>
        <w:right w:val="single" w:sz="8" w:space="0" w:color="auto"/>
      </w:pBdr>
      <w:spacing w:before="100" w:beforeAutospacing="1" w:after="100" w:afterAutospacing="1"/>
      <w:textAlignment w:val="top"/>
    </w:pPr>
    <w:rPr>
      <w:rFonts w:eastAsia="Arial Unicode MS" w:cs="Arial"/>
      <w:sz w:val="24"/>
      <w:szCs w:val="24"/>
      <w:lang w:eastAsia="de-DE"/>
    </w:rPr>
  </w:style>
  <w:style w:type="paragraph" w:customStyle="1" w:styleId="xl42">
    <w:name w:val="xl42"/>
    <w:basedOn w:val="Standard"/>
    <w:pPr>
      <w:pBdr>
        <w:bottom w:val="single" w:sz="8" w:space="0" w:color="auto"/>
        <w:right w:val="single" w:sz="8" w:space="0" w:color="auto"/>
      </w:pBdr>
      <w:spacing w:before="100" w:beforeAutospacing="1" w:after="100" w:afterAutospacing="1"/>
      <w:ind w:firstLineChars="400" w:firstLine="400"/>
      <w:textAlignment w:val="top"/>
    </w:pPr>
    <w:rPr>
      <w:rFonts w:eastAsia="Arial Unicode MS" w:cs="Arial"/>
      <w:sz w:val="14"/>
      <w:szCs w:val="14"/>
      <w:lang w:eastAsia="de-DE"/>
    </w:rPr>
  </w:style>
  <w:style w:type="paragraph" w:customStyle="1" w:styleId="xl43">
    <w:name w:val="xl43"/>
    <w:basedOn w:val="Standard"/>
    <w:pPr>
      <w:pBdr>
        <w:left w:val="single" w:sz="4" w:space="31" w:color="auto"/>
        <w:bottom w:val="single" w:sz="8" w:space="0" w:color="auto"/>
        <w:right w:val="single" w:sz="8" w:space="0" w:color="auto"/>
      </w:pBdr>
      <w:spacing w:before="100" w:beforeAutospacing="1" w:after="100" w:afterAutospacing="1"/>
      <w:ind w:firstLineChars="400" w:firstLine="400"/>
      <w:textAlignment w:val="top"/>
    </w:pPr>
    <w:rPr>
      <w:rFonts w:eastAsia="Arial Unicode MS" w:cs="Arial"/>
      <w:sz w:val="24"/>
      <w:szCs w:val="24"/>
      <w:lang w:eastAsia="de-DE"/>
    </w:rPr>
  </w:style>
  <w:style w:type="paragraph" w:customStyle="1" w:styleId="xl44">
    <w:name w:val="xl44"/>
    <w:basedOn w:val="Standard"/>
    <w:pPr>
      <w:pBdr>
        <w:top w:val="single" w:sz="8" w:space="0" w:color="auto"/>
        <w:left w:val="single" w:sz="8" w:space="0" w:color="auto"/>
        <w:right w:val="single" w:sz="4" w:space="0" w:color="auto"/>
      </w:pBdr>
      <w:spacing w:before="100" w:beforeAutospacing="1" w:after="100" w:afterAutospacing="1"/>
      <w:textAlignment w:val="top"/>
    </w:pPr>
    <w:rPr>
      <w:rFonts w:eastAsia="Arial Unicode MS" w:cs="Arial"/>
      <w:b/>
      <w:bCs/>
      <w:sz w:val="28"/>
      <w:szCs w:val="28"/>
      <w:lang w:eastAsia="de-DE"/>
    </w:rPr>
  </w:style>
  <w:style w:type="paragraph" w:customStyle="1" w:styleId="xl45">
    <w:name w:val="xl45"/>
    <w:basedOn w:val="Standard"/>
    <w:pPr>
      <w:pBdr>
        <w:left w:val="single" w:sz="8" w:space="0" w:color="auto"/>
        <w:right w:val="single" w:sz="4" w:space="0" w:color="auto"/>
      </w:pBdr>
      <w:spacing w:before="100" w:beforeAutospacing="1" w:after="100" w:afterAutospacing="1"/>
      <w:textAlignment w:val="top"/>
    </w:pPr>
    <w:rPr>
      <w:rFonts w:ascii="Arial Unicode MS" w:eastAsia="Arial Unicode MS" w:hAnsi="Arial Unicode MS" w:cs="Arial Unicode MS"/>
      <w:sz w:val="24"/>
      <w:szCs w:val="24"/>
      <w:lang w:eastAsia="de-DE"/>
    </w:rPr>
  </w:style>
  <w:style w:type="paragraph" w:customStyle="1" w:styleId="xl46">
    <w:name w:val="xl46"/>
    <w:basedOn w:val="Standard"/>
    <w:pPr>
      <w:pBdr>
        <w:left w:val="single" w:sz="8" w:space="0" w:color="auto"/>
        <w:bottom w:val="single" w:sz="8" w:space="0" w:color="auto"/>
        <w:right w:val="single" w:sz="4" w:space="0" w:color="auto"/>
      </w:pBdr>
      <w:spacing w:before="100" w:beforeAutospacing="1" w:after="100" w:afterAutospacing="1"/>
      <w:textAlignment w:val="top"/>
    </w:pPr>
    <w:rPr>
      <w:rFonts w:ascii="Arial Unicode MS" w:eastAsia="Arial Unicode MS" w:hAnsi="Arial Unicode MS" w:cs="Arial Unicode MS"/>
      <w:sz w:val="24"/>
      <w:szCs w:val="24"/>
      <w:lang w:eastAsia="de-DE"/>
    </w:rPr>
  </w:style>
  <w:style w:type="paragraph" w:customStyle="1" w:styleId="xl47">
    <w:name w:val="xl47"/>
    <w:basedOn w:val="Standard"/>
    <w:pPr>
      <w:pBdr>
        <w:left w:val="single" w:sz="8" w:space="0" w:color="auto"/>
        <w:right w:val="single" w:sz="4" w:space="0" w:color="auto"/>
      </w:pBdr>
      <w:spacing w:before="100" w:beforeAutospacing="1" w:after="100" w:afterAutospacing="1"/>
      <w:textAlignment w:val="top"/>
    </w:pPr>
    <w:rPr>
      <w:rFonts w:eastAsia="Arial Unicode MS" w:cs="Arial"/>
      <w:b/>
      <w:bCs/>
      <w:sz w:val="28"/>
      <w:szCs w:val="28"/>
      <w:lang w:eastAsia="de-DE"/>
    </w:rPr>
  </w:style>
  <w:style w:type="paragraph" w:customStyle="1" w:styleId="xl48">
    <w:name w:val="xl48"/>
    <w:basedOn w:val="Standard"/>
    <w:pPr>
      <w:pBdr>
        <w:left w:val="single" w:sz="8" w:space="0" w:color="auto"/>
        <w:bottom w:val="single" w:sz="8" w:space="0" w:color="auto"/>
        <w:right w:val="single" w:sz="4" w:space="0" w:color="auto"/>
      </w:pBdr>
      <w:spacing w:before="100" w:beforeAutospacing="1" w:after="100" w:afterAutospacing="1"/>
      <w:textAlignment w:val="top"/>
    </w:pPr>
    <w:rPr>
      <w:rFonts w:eastAsia="Arial Unicode MS" w:cs="Arial"/>
      <w:b/>
      <w:bCs/>
      <w:sz w:val="28"/>
      <w:szCs w:val="28"/>
      <w:lang w:eastAsia="de-DE"/>
    </w:rPr>
  </w:style>
  <w:style w:type="paragraph" w:customStyle="1" w:styleId="xl49">
    <w:name w:val="xl49"/>
    <w:basedOn w:val="Standard"/>
    <w:pPr>
      <w:pBdr>
        <w:left w:val="single" w:sz="8" w:space="0" w:color="auto"/>
        <w:right w:val="single" w:sz="4" w:space="0" w:color="auto"/>
      </w:pBdr>
      <w:spacing w:before="100" w:beforeAutospacing="1" w:after="100" w:afterAutospacing="1"/>
      <w:textAlignment w:val="top"/>
    </w:pPr>
    <w:rPr>
      <w:rFonts w:eastAsia="Arial Unicode MS" w:cs="Arial"/>
      <w:b/>
      <w:bCs/>
      <w:sz w:val="24"/>
      <w:szCs w:val="24"/>
      <w:lang w:eastAsia="de-DE"/>
    </w:rPr>
  </w:style>
  <w:style w:type="paragraph" w:customStyle="1" w:styleId="xl50">
    <w:name w:val="xl50"/>
    <w:basedOn w:val="Standard"/>
    <w:pPr>
      <w:pBdr>
        <w:left w:val="single" w:sz="8" w:space="0" w:color="auto"/>
        <w:bottom w:val="single" w:sz="8" w:space="0" w:color="auto"/>
        <w:right w:val="single" w:sz="4" w:space="0" w:color="auto"/>
      </w:pBdr>
      <w:spacing w:before="100" w:beforeAutospacing="1" w:after="100" w:afterAutospacing="1"/>
      <w:textAlignment w:val="top"/>
    </w:pPr>
    <w:rPr>
      <w:rFonts w:eastAsia="Arial Unicode MS" w:cs="Arial"/>
      <w:b/>
      <w:bCs/>
      <w:sz w:val="24"/>
      <w:szCs w:val="24"/>
      <w:lang w:eastAsia="de-DE"/>
    </w:rPr>
  </w:style>
  <w:style w:type="paragraph" w:customStyle="1" w:styleId="xl51">
    <w:name w:val="xl51"/>
    <w:basedOn w:val="Standard"/>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rFonts w:eastAsia="Arial Unicode MS" w:cs="Arial"/>
      <w:b/>
      <w:bCs/>
      <w:sz w:val="28"/>
      <w:szCs w:val="28"/>
      <w:lang w:eastAsia="de-DE"/>
    </w:rPr>
  </w:style>
  <w:style w:type="paragraph" w:customStyle="1" w:styleId="xl52">
    <w:name w:val="xl52"/>
    <w:basedOn w:val="Standar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eastAsia="Arial Unicode MS" w:cs="Arial"/>
      <w:b/>
      <w:bCs/>
      <w:sz w:val="28"/>
      <w:szCs w:val="28"/>
      <w:lang w:eastAsia="de-DE"/>
    </w:rPr>
  </w:style>
  <w:style w:type="paragraph" w:customStyle="1" w:styleId="xl53">
    <w:name w:val="xl53"/>
    <w:basedOn w:val="Standard"/>
    <w:pPr>
      <w:pBdr>
        <w:top w:val="single" w:sz="8" w:space="0" w:color="auto"/>
        <w:right w:val="single" w:sz="8" w:space="0" w:color="auto"/>
      </w:pBdr>
      <w:spacing w:before="100" w:beforeAutospacing="1" w:after="100" w:afterAutospacing="1"/>
      <w:textAlignment w:val="top"/>
    </w:pPr>
    <w:rPr>
      <w:rFonts w:eastAsia="Arial Unicode MS" w:cs="Arial"/>
      <w:sz w:val="24"/>
      <w:szCs w:val="24"/>
      <w:lang w:eastAsia="de-DE"/>
    </w:rPr>
  </w:style>
  <w:style w:type="paragraph" w:customStyle="1" w:styleId="xl54">
    <w:name w:val="xl54"/>
    <w:basedOn w:val="Standard"/>
    <w:pPr>
      <w:pBdr>
        <w:bottom w:val="single" w:sz="8" w:space="0" w:color="auto"/>
        <w:right w:val="single" w:sz="8" w:space="0" w:color="auto"/>
      </w:pBdr>
      <w:spacing w:before="100" w:beforeAutospacing="1" w:after="100" w:afterAutospacing="1"/>
      <w:textAlignment w:val="top"/>
    </w:pPr>
    <w:rPr>
      <w:rFonts w:eastAsia="Arial Unicode MS" w:cs="Arial"/>
      <w:sz w:val="24"/>
      <w:szCs w:val="24"/>
      <w:lang w:eastAsia="de-DE"/>
    </w:rPr>
  </w:style>
  <w:style w:type="paragraph" w:customStyle="1" w:styleId="xl55">
    <w:name w:val="xl55"/>
    <w:basedOn w:val="Standard"/>
    <w:pPr>
      <w:pBdr>
        <w:top w:val="single" w:sz="8" w:space="0" w:color="auto"/>
        <w:left w:val="single" w:sz="8" w:space="0" w:color="auto"/>
        <w:right w:val="single" w:sz="4" w:space="0" w:color="auto"/>
      </w:pBdr>
      <w:spacing w:before="100" w:beforeAutospacing="1" w:after="100" w:afterAutospacing="1"/>
      <w:textAlignment w:val="top"/>
    </w:pPr>
    <w:rPr>
      <w:rFonts w:eastAsia="Arial Unicode MS" w:cs="Arial"/>
      <w:b/>
      <w:bCs/>
      <w:sz w:val="28"/>
      <w:szCs w:val="28"/>
      <w:lang w:eastAsia="de-DE"/>
    </w:rPr>
  </w:style>
  <w:style w:type="paragraph" w:customStyle="1" w:styleId="font0">
    <w:name w:val="font0"/>
    <w:basedOn w:val="Standard"/>
    <w:pPr>
      <w:spacing w:before="100" w:beforeAutospacing="1" w:after="100" w:afterAutospacing="1"/>
    </w:pPr>
    <w:rPr>
      <w:rFonts w:eastAsia="Arial Unicode MS" w:cs="Arial"/>
      <w:sz w:val="20"/>
      <w:lang w:eastAsia="de-DE"/>
    </w:rPr>
  </w:style>
  <w:style w:type="paragraph" w:styleId="Aufzhlungszeichen2">
    <w:name w:val="List Bullet 2"/>
    <w:basedOn w:val="Standard"/>
    <w:pPr>
      <w:tabs>
        <w:tab w:val="num" w:pos="720"/>
      </w:tabs>
      <w:spacing w:line="360" w:lineRule="auto"/>
      <w:ind w:left="714" w:hanging="357"/>
      <w:jc w:val="both"/>
    </w:pPr>
    <w:rPr>
      <w:rFonts w:ascii="Times New Roman" w:hAnsi="Times New Roman"/>
      <w:sz w:val="24"/>
      <w:lang w:eastAsia="de-DE"/>
    </w:rPr>
  </w:style>
  <w:style w:type="paragraph" w:styleId="Aufzhlungszeichen3">
    <w:name w:val="List Bullet 3"/>
    <w:basedOn w:val="Standard"/>
    <w:pPr>
      <w:tabs>
        <w:tab w:val="left" w:pos="1077"/>
      </w:tabs>
      <w:spacing w:line="360" w:lineRule="auto"/>
      <w:ind w:left="1077" w:hanging="357"/>
      <w:jc w:val="both"/>
    </w:pPr>
    <w:rPr>
      <w:rFonts w:ascii="Times New Roman" w:hAnsi="Times New Roman"/>
      <w:sz w:val="24"/>
      <w:lang w:eastAsia="de-DE"/>
    </w:rPr>
  </w:style>
  <w:style w:type="paragraph" w:styleId="Aufzhlungszeichen4">
    <w:name w:val="List Bullet 4"/>
    <w:basedOn w:val="Standard"/>
    <w:pPr>
      <w:tabs>
        <w:tab w:val="right" w:pos="1440"/>
      </w:tabs>
      <w:spacing w:line="360" w:lineRule="auto"/>
      <w:ind w:left="1434" w:hanging="357"/>
      <w:jc w:val="both"/>
    </w:pPr>
    <w:rPr>
      <w:rFonts w:ascii="Times New Roman" w:hAnsi="Times New Roman"/>
      <w:sz w:val="24"/>
      <w:lang w:eastAsia="de-DE"/>
    </w:rPr>
  </w:style>
  <w:style w:type="paragraph" w:styleId="Aufzhlungszeichen5">
    <w:name w:val="List Bullet 5"/>
    <w:basedOn w:val="Standard"/>
    <w:pPr>
      <w:tabs>
        <w:tab w:val="num" w:pos="1786"/>
      </w:tabs>
      <w:spacing w:line="360" w:lineRule="auto"/>
      <w:ind w:left="1797" w:hanging="357"/>
      <w:jc w:val="both"/>
    </w:pPr>
    <w:rPr>
      <w:rFonts w:ascii="Times New Roman" w:hAnsi="Times New Roman"/>
      <w:sz w:val="24"/>
      <w:lang w:eastAsia="de-DE"/>
    </w:rPr>
  </w:style>
  <w:style w:type="paragraph" w:styleId="Listennummer">
    <w:name w:val="List Number"/>
    <w:basedOn w:val="Standard"/>
    <w:pPr>
      <w:tabs>
        <w:tab w:val="num" w:pos="357"/>
      </w:tabs>
      <w:spacing w:line="360" w:lineRule="auto"/>
      <w:ind w:left="357" w:hanging="357"/>
      <w:jc w:val="both"/>
    </w:pPr>
    <w:rPr>
      <w:rFonts w:ascii="Times New Roman" w:hAnsi="Times New Roman"/>
      <w:sz w:val="24"/>
      <w:lang w:eastAsia="de-DE"/>
    </w:rPr>
  </w:style>
  <w:style w:type="paragraph" w:styleId="Listennummer2">
    <w:name w:val="List Number 2"/>
    <w:basedOn w:val="Standard"/>
    <w:pPr>
      <w:tabs>
        <w:tab w:val="num" w:pos="357"/>
      </w:tabs>
      <w:spacing w:line="360" w:lineRule="auto"/>
      <w:ind w:left="714" w:hanging="357"/>
      <w:jc w:val="both"/>
    </w:pPr>
    <w:rPr>
      <w:rFonts w:ascii="Times New Roman" w:hAnsi="Times New Roman"/>
      <w:sz w:val="24"/>
      <w:lang w:eastAsia="de-DE"/>
    </w:rPr>
  </w:style>
  <w:style w:type="paragraph" w:styleId="Listennummer3">
    <w:name w:val="List Number 3"/>
    <w:basedOn w:val="Standard"/>
    <w:pPr>
      <w:tabs>
        <w:tab w:val="right" w:pos="1077"/>
      </w:tabs>
      <w:spacing w:line="360" w:lineRule="auto"/>
      <w:ind w:left="1077" w:hanging="357"/>
      <w:jc w:val="both"/>
    </w:pPr>
    <w:rPr>
      <w:rFonts w:ascii="Times New Roman" w:hAnsi="Times New Roman"/>
      <w:sz w:val="24"/>
      <w:lang w:eastAsia="de-DE"/>
    </w:rPr>
  </w:style>
  <w:style w:type="paragraph" w:styleId="Listennummer4">
    <w:name w:val="List Number 4"/>
    <w:basedOn w:val="Standard"/>
    <w:pPr>
      <w:tabs>
        <w:tab w:val="right" w:pos="1440"/>
      </w:tabs>
      <w:spacing w:line="360" w:lineRule="auto"/>
      <w:ind w:left="1434" w:hanging="357"/>
      <w:jc w:val="both"/>
    </w:pPr>
    <w:rPr>
      <w:rFonts w:ascii="Times New Roman" w:hAnsi="Times New Roman"/>
      <w:sz w:val="24"/>
      <w:lang w:eastAsia="de-DE"/>
    </w:rPr>
  </w:style>
  <w:style w:type="paragraph" w:styleId="Listennummer5">
    <w:name w:val="List Number 5"/>
    <w:basedOn w:val="Standard"/>
    <w:pPr>
      <w:tabs>
        <w:tab w:val="right" w:pos="1797"/>
      </w:tabs>
      <w:spacing w:line="360" w:lineRule="auto"/>
      <w:ind w:left="1797" w:hanging="357"/>
      <w:jc w:val="both"/>
    </w:pPr>
    <w:rPr>
      <w:rFonts w:ascii="Times New Roman" w:hAnsi="Times New Roman"/>
      <w:sz w:val="24"/>
      <w:lang w:eastAsia="de-DE"/>
    </w:rPr>
  </w:style>
  <w:style w:type="paragraph" w:styleId="Dokumentstruktur">
    <w:name w:val="Document Map"/>
    <w:basedOn w:val="Standard"/>
    <w:semiHidden/>
    <w:pPr>
      <w:shd w:val="clear" w:color="auto" w:fill="000080"/>
    </w:pPr>
    <w:rPr>
      <w:rFonts w:ascii="Tahoma" w:hAnsi="Tahoma" w:cs="Tahoma"/>
    </w:rPr>
  </w:style>
  <w:style w:type="paragraph" w:customStyle="1" w:styleId="EinzugNormal">
    <w:name w:val="Einzug: Normal"/>
    <w:basedOn w:val="Standard"/>
    <w:pPr>
      <w:tabs>
        <w:tab w:val="left" w:pos="426"/>
        <w:tab w:val="left" w:pos="851"/>
        <w:tab w:val="left" w:pos="1276"/>
        <w:tab w:val="left" w:pos="1702"/>
        <w:tab w:val="left" w:pos="2127"/>
        <w:tab w:val="left" w:pos="2552"/>
        <w:tab w:val="left" w:pos="2977"/>
      </w:tabs>
    </w:pPr>
    <w:rPr>
      <w:sz w:val="24"/>
      <w:lang w:eastAsia="de-DE"/>
    </w:rPr>
  </w:style>
  <w:style w:type="character" w:styleId="Fett">
    <w:name w:val="Strong"/>
    <w:qFormat/>
    <w:rPr>
      <w:b/>
      <w:bCs/>
    </w:rPr>
  </w:style>
  <w:style w:type="paragraph" w:customStyle="1" w:styleId="Aufzhlung10">
    <w:name w:val="Aufzählung 1"/>
    <w:basedOn w:val="Text"/>
    <w:pPr>
      <w:tabs>
        <w:tab w:val="num" w:pos="720"/>
        <w:tab w:val="left" w:pos="1276"/>
      </w:tabs>
      <w:spacing w:before="30" w:after="30"/>
      <w:ind w:left="1276" w:right="567" w:hanging="425"/>
    </w:pPr>
    <w:rPr>
      <w:rFonts w:cs="Arial"/>
      <w:szCs w:val="22"/>
    </w:rPr>
  </w:style>
  <w:style w:type="paragraph" w:customStyle="1" w:styleId="textkrper0">
    <w:name w:val="textkörper"/>
    <w:pPr>
      <w:spacing w:line="360" w:lineRule="atLeast"/>
    </w:pPr>
    <w:rPr>
      <w:rFonts w:ascii="Arial" w:hAnsi="Arial"/>
      <w:sz w:val="24"/>
    </w:rPr>
  </w:style>
  <w:style w:type="paragraph" w:customStyle="1" w:styleId="berschriftneu">
    <w:name w:val="Überschriftneu"/>
    <w:basedOn w:val="Standard"/>
    <w:next w:val="Standard"/>
    <w:pPr>
      <w:tabs>
        <w:tab w:val="num" w:pos="1778"/>
      </w:tabs>
      <w:spacing w:before="240"/>
      <w:ind w:left="1778" w:hanging="360"/>
    </w:pPr>
    <w:rPr>
      <w:b/>
      <w:sz w:val="24"/>
      <w:lang w:eastAsia="de-DE"/>
    </w:rPr>
  </w:style>
  <w:style w:type="paragraph" w:customStyle="1" w:styleId="1Einrckung-">
    <w:name w:val="1. Einrückung (-)"/>
    <w:basedOn w:val="Standard"/>
    <w:pPr>
      <w:tabs>
        <w:tab w:val="left" w:pos="284"/>
        <w:tab w:val="num" w:pos="360"/>
      </w:tabs>
      <w:spacing w:after="120"/>
      <w:ind w:left="360" w:hanging="360"/>
      <w:jc w:val="both"/>
    </w:pPr>
    <w:rPr>
      <w:rFonts w:cs="Arial"/>
      <w:szCs w:val="22"/>
      <w:lang w:eastAsia="de-DE"/>
    </w:rPr>
  </w:style>
  <w:style w:type="paragraph" w:customStyle="1" w:styleId="Tabelle-berschrift">
    <w:name w:val="Tabelle - Überschrift"/>
    <w:basedOn w:val="Tabelle-Schrift"/>
    <w:rPr>
      <w:b/>
    </w:rPr>
  </w:style>
  <w:style w:type="paragraph" w:customStyle="1" w:styleId="Tabelle-Schrift">
    <w:name w:val="Tabelle - Schrift"/>
    <w:basedOn w:val="Standard"/>
    <w:pPr>
      <w:spacing w:before="120" w:after="120"/>
    </w:pPr>
    <w:rPr>
      <w:lang w:eastAsia="de-DE"/>
    </w:rPr>
  </w:style>
  <w:style w:type="paragraph" w:customStyle="1" w:styleId="Liste1">
    <w:name w:val="Liste 1"/>
    <w:basedOn w:val="Standard"/>
    <w:pPr>
      <w:numPr>
        <w:numId w:val="13"/>
      </w:numPr>
      <w:spacing w:before="60" w:after="60"/>
      <w:jc w:val="both"/>
    </w:pPr>
    <w:rPr>
      <w:lang w:eastAsia="de-DE"/>
    </w:rPr>
  </w:style>
  <w:style w:type="paragraph" w:customStyle="1" w:styleId="4">
    <w:name w:val="Ü 4"/>
    <w:basedOn w:val="Standard"/>
    <w:pPr>
      <w:tabs>
        <w:tab w:val="num" w:pos="1854"/>
      </w:tabs>
      <w:ind w:left="1854" w:hanging="360"/>
    </w:pPr>
    <w:rPr>
      <w:b/>
      <w:bCs/>
      <w:sz w:val="28"/>
      <w:lang w:eastAsia="de-DE"/>
    </w:rPr>
  </w:style>
  <w:style w:type="character" w:customStyle="1" w:styleId="para1">
    <w:name w:val="para1"/>
    <w:rPr>
      <w:rFonts w:ascii="Arial" w:hAnsi="Arial" w:cs="Arial" w:hint="default"/>
      <w:sz w:val="18"/>
      <w:szCs w:val="18"/>
    </w:rPr>
  </w:style>
  <w:style w:type="paragraph" w:customStyle="1" w:styleId="berschrift1Headline1berschrift1berschrift0Header1ChapterH1Heading1Heading10Head1HeadingappsHeading101Head11Headingapps1berschrift1ohneberschrift1aberschrift1a1berschrift1ohne1h1OdsKap1OdsKap1berschriftIICha">
    <w:name w:val="Überschrift 1.Headline1:Überschrift 1.Überschrift 0.Header 1.Chapter.H1.Heading 1.Heading 10.Head1.Heading apps.Heading 101.Head11.Heading apps1.Überschrift 1 ohne.Überschrift 1a.Überschrift 1a1.Überschrift 1 ohne1.h1.OdsKap1.OdsKap1Überschrift.II+ Cha"/>
    <w:basedOn w:val="BasisabsatzCharChar"/>
    <w:next w:val="BasisabsatzCharChar"/>
    <w:pPr>
      <w:keepNext/>
      <w:keepLines/>
      <w:pageBreakBefore/>
      <w:tabs>
        <w:tab w:val="num" w:pos="1134"/>
      </w:tabs>
      <w:autoSpaceDE w:val="0"/>
      <w:autoSpaceDN w:val="0"/>
      <w:spacing w:before="120" w:after="240"/>
      <w:ind w:hanging="1134"/>
      <w:jc w:val="left"/>
      <w:outlineLvl w:val="0"/>
    </w:pPr>
    <w:rPr>
      <w:rFonts w:ascii="Arial Fett" w:hAnsi="Arial Fett" w:cs="Arial Fett"/>
      <w:b/>
      <w:bCs/>
      <w:outline/>
      <w:noProof/>
      <w:color w:val="000000"/>
      <w:sz w:val="32"/>
      <w:szCs w:val="32"/>
      <w:lang w:val="en-US" w:eastAsia="de-DE"/>
      <w14:textOutline w14:w="9525" w14:cap="flat" w14:cmpd="sng" w14:algn="ctr">
        <w14:solidFill>
          <w14:srgbClr w14:val="000000"/>
        </w14:solidFill>
        <w14:prstDash w14:val="solid"/>
        <w14:round/>
      </w14:textOutline>
      <w14:textFill>
        <w14:noFill/>
      </w14:textFill>
    </w:rPr>
  </w:style>
  <w:style w:type="paragraph" w:customStyle="1" w:styleId="berschrift2Headline2Gliederung2Header2H2H21H22H23H24H25H26H27H28H29H210H211H212H213H221H231H241H251H261H271H281H291H2101H2111H2121H214H222H232H242H252H262H272H282H292H2102H2112H2122H215H223H233H243H2Cha">
    <w:name w:val="Überschrift 2.Headline 2.Gliederung2.Header 2.H2.H21.H22.H23.H24.H25.H26.H27.H28.H29.H210.H211.H212.H213.H221.H231.H241.H251.H261.H271.H281.H291.H2101.H2111.H2121.H214.H222.H232.H242.H252.H262.H272.H282.H292.H2102.H2112.H2122.H215.H223.H233.H243.H2 Cha"/>
    <w:basedOn w:val="berschrift1Headline1berschrift1berschrift0Header1ChapterH1Heading1Heading10Head1HeadingappsHeading101Head11Headingapps1berschrift1ohneberschrift1aberschrift1a1berschrift1ohne1h1OdsKap1OdsKap1berschriftIICha"/>
    <w:next w:val="BasisabsatzCharChar"/>
    <w:pPr>
      <w:pageBreakBefore w:val="0"/>
      <w:tabs>
        <w:tab w:val="clear" w:pos="1134"/>
        <w:tab w:val="num" w:pos="1418"/>
        <w:tab w:val="num" w:pos="1492"/>
        <w:tab w:val="right" w:pos="8789"/>
      </w:tabs>
      <w:spacing w:before="180"/>
      <w:ind w:left="1418" w:right="142"/>
      <w:outlineLvl w:val="1"/>
    </w:pPr>
    <w:rPr>
      <w:sz w:val="28"/>
      <w:szCs w:val="28"/>
      <w14:textOutline w14:w="0" w14:cap="rnd" w14:cmpd="sng" w14:algn="ctr">
        <w14:noFill/>
        <w14:prstDash w14:val="solid"/>
        <w14:bevel/>
      </w14:textOutline>
      <w14:textFill>
        <w14:solidFill>
          <w14:srgbClr w14:val="000000"/>
        </w14:solidFill>
      </w14:textFill>
    </w:rPr>
  </w:style>
  <w:style w:type="paragraph" w:customStyle="1" w:styleId="berschrift3Gliederung3Header3Header3H3h3Gliederung31H3------------------aHeading3Headline33l3subhead1TF-Overskrift3L3NormalHeading3HHHeadingLevel3HeadHeadSmallh3131l31Level3Head1H31HeadSmall1h3232l32">
    <w:name w:val="Überschrift 3.Gliederung3.Header 3.Header3.H3.h3.Gliederung31.H3&lt;------------------.a_Heading 3.Headline 3.3.l3.subhead.1..TF-Overskrift 3.L3.NormalHeading 3.HHHeading.Level 3 Head.HeadSmall.h31.31.l31.Level 3 Head1.H31.HeadSmall1.h32.32.l32"/>
    <w:basedOn w:val="berschrift2Headline2Gliederung2Header2H2H21H22H23H24H25H26H27H28H29H210H211H212H213H221H231H241H251H261H271H281H291H2101H2111H2121H214H222H232H242H252H262H272H282H292H2102H2112H2122H215H223H233H243H2Cha"/>
    <w:next w:val="BasisabsatzCharChar"/>
    <w:pPr>
      <w:tabs>
        <w:tab w:val="clear" w:pos="1418"/>
        <w:tab w:val="clear" w:pos="1492"/>
        <w:tab w:val="num" w:pos="1134"/>
      </w:tabs>
      <w:ind w:left="1134"/>
      <w:outlineLvl w:val="2"/>
    </w:pPr>
    <w:rPr>
      <w:sz w:val="24"/>
      <w:szCs w:val="24"/>
    </w:rPr>
  </w:style>
  <w:style w:type="paragraph" w:customStyle="1" w:styleId="berschrift4Header4H4Headline4h4aSubsubheading4h41a1H4141Level2-aMapparaMapTitleh42a2H4242h43a3H4343h44a4H4444h45a5H4545h46a6H4646h47a7H4747h48a8H4848h49a9H4949h410a10H410Heading4">
    <w:name w:val="Überschrift 4.Header 4.H4.Headline4.h4.a..Sub sub heading.4.h41.a.1.H41.41.Level 2 - a.Map para.Map Title.h42.a.2.H42.42.h43.a.3.H43.43.h44.a.4.H44.44.h45.a.5.H45.45.h46.a.6.H46.46.h47.a.7.H47.47.h48.a.8.H48.48.h49.a.9.H49.49.h410.a.10.H410.Heading 4"/>
    <w:basedOn w:val="berschrift3Gliederung3Header3Header3H3h3Gliederung31H3------------------aHeading3Headline33l3subhead1TF-Overskrift3L3NormalHeading3HHHeadingLevel3HeadHeadSmallh3131l31Level3Head1H31HeadSmall1h3232l32"/>
    <w:next w:val="BasisabsatzCharChar"/>
    <w:pPr>
      <w:outlineLvl w:val="3"/>
    </w:pPr>
    <w:rPr>
      <w:noProof w:val="0"/>
      <w:lang w:val="de-DE"/>
    </w:rPr>
  </w:style>
  <w:style w:type="paragraph" w:customStyle="1" w:styleId="berschrift5H5FAQQuestionHeadline5h5Level3-imh2Moduleheading2NumberedSub-listHeadline51Headline52ASAPHeading5Strg5Gliederung5">
    <w:name w:val="Überschrift 5.H5.FAQ Question.Headline5.h5.Level 3 - i.mh2.Module heading 2.Numbered Sub-list.Headline51.Headline52.ASAPHeading 5.(Strg+5).Gliederung5"/>
    <w:basedOn w:val="Standard"/>
    <w:next w:val="Standard"/>
    <w:pPr>
      <w:tabs>
        <w:tab w:val="num" w:pos="1440"/>
      </w:tabs>
      <w:autoSpaceDE w:val="0"/>
      <w:autoSpaceDN w:val="0"/>
      <w:spacing w:after="120"/>
      <w:ind w:left="1134" w:right="142" w:hanging="1134"/>
      <w:outlineLvl w:val="4"/>
    </w:pPr>
    <w:rPr>
      <w:rFonts w:ascii="Arial Fett" w:hAnsi="Arial Fett"/>
      <w:b/>
      <w:bCs/>
      <w:sz w:val="20"/>
      <w:lang w:eastAsia="de-DE"/>
    </w:rPr>
  </w:style>
  <w:style w:type="paragraph" w:customStyle="1" w:styleId="berschrift6LegalLevel1cnpCaptionnumberpage-wideh6berschriftFett">
    <w:name w:val="Überschrift 6.Legal Level 1..cnp.Caption number (page-wide).h6.Überschrift Fett"/>
    <w:basedOn w:val="BasisabsatzCharChar"/>
    <w:next w:val="BasisabsatzCharChar"/>
    <w:pPr>
      <w:tabs>
        <w:tab w:val="num" w:pos="1800"/>
      </w:tabs>
      <w:autoSpaceDE w:val="0"/>
      <w:autoSpaceDN w:val="0"/>
      <w:ind w:hanging="1134"/>
      <w:jc w:val="left"/>
      <w:outlineLvl w:val="5"/>
    </w:pPr>
    <w:rPr>
      <w:rFonts w:cs="Arial"/>
      <w:b/>
      <w:bCs/>
      <w:szCs w:val="22"/>
      <w:lang w:eastAsia="de-DE"/>
    </w:rPr>
  </w:style>
  <w:style w:type="paragraph" w:customStyle="1" w:styleId="berschrift7cncCaptionnumbercolumn-wideL7h7ASAPHeading7Strg7berschriftKursiv">
    <w:name w:val="Überschrift 7.cnc.Caption number (column-wide).L7.h7.ASAPHeading 7.(Strg+7).Überschrift Kursiv"/>
    <w:basedOn w:val="BasisabsatzCharChar"/>
    <w:next w:val="Standard"/>
    <w:pPr>
      <w:tabs>
        <w:tab w:val="num" w:pos="0"/>
      </w:tabs>
      <w:autoSpaceDE w:val="0"/>
      <w:autoSpaceDN w:val="0"/>
      <w:ind w:left="0"/>
      <w:jc w:val="left"/>
      <w:outlineLvl w:val="6"/>
    </w:pPr>
    <w:rPr>
      <w:rFonts w:cs="Arial"/>
      <w:b/>
      <w:bCs/>
      <w:szCs w:val="22"/>
      <w:lang w:eastAsia="de-DE"/>
    </w:rPr>
  </w:style>
  <w:style w:type="paragraph" w:customStyle="1" w:styleId="berschrift8ctpCaptiontextpage-wideListingsListings1Listings2Listings3Listings11Listings21Listings4Listings12Listings22Listings5Listings13Listings23Listings31Listings111Listings211Listings41Listings121Listings221Listings6tt1">
    <w:name w:val="Überschrift 8.ctp.Caption text (page-wide).Listings.Listings1.Listings2.Listings3.Listings11.Listings21.Listings4.Listings12.Listings22.Listings5.Listings13.Listings23.Listings31.Listings111.Listings211.Listings41.Listings121.Listings221.Listings6.t.t1"/>
    <w:basedOn w:val="BasisabsatzCharChar"/>
    <w:next w:val="Standard"/>
    <w:pPr>
      <w:tabs>
        <w:tab w:val="num" w:pos="0"/>
      </w:tabs>
      <w:autoSpaceDE w:val="0"/>
      <w:autoSpaceDN w:val="0"/>
      <w:ind w:left="0"/>
      <w:jc w:val="left"/>
      <w:outlineLvl w:val="7"/>
    </w:pPr>
    <w:rPr>
      <w:rFonts w:cs="Arial"/>
      <w:b/>
      <w:bCs/>
      <w:szCs w:val="22"/>
      <w:lang w:eastAsia="de-DE"/>
    </w:rPr>
  </w:style>
  <w:style w:type="paragraph" w:customStyle="1" w:styleId="berschrift9ctcCaptiontextcolumn-wideAppendixHeadsAppendixHeads1AppendixHeads2AppendixHeads3AppendixHeads11AppendixHeads21AppendixHeads4AppendixHeads12AppendixHeads22AppendixHeads5AppendixHeads13AppendixHeads23h9">
    <w:name w:val="Überschrift 9.ctc.Caption text (column-wide).Appendix Heads.Appendix Heads1.Appendix Heads2.Appendix Heads3.Appendix Heads11.Appendix Heads21.Appendix Heads4.Appendix Heads12.Appendix Heads22.Appendix Heads5.Appendix Heads13.Appendix Heads23.h9"/>
    <w:basedOn w:val="BasisabsatzCharChar"/>
    <w:next w:val="Standard"/>
    <w:pPr>
      <w:tabs>
        <w:tab w:val="num" w:pos="0"/>
      </w:tabs>
      <w:autoSpaceDE w:val="0"/>
      <w:autoSpaceDN w:val="0"/>
      <w:ind w:left="0"/>
      <w:jc w:val="left"/>
      <w:outlineLvl w:val="8"/>
    </w:pPr>
    <w:rPr>
      <w:rFonts w:cs="Arial"/>
      <w:b/>
      <w:bCs/>
      <w:szCs w:val="22"/>
      <w:lang w:eastAsia="de-DE"/>
    </w:rPr>
  </w:style>
  <w:style w:type="character" w:customStyle="1" w:styleId="FormatvorlageArial11pt">
    <w:name w:val="Formatvorlage Arial 11 pt"/>
    <w:rPr>
      <w:rFonts w:ascii="Arial" w:hAnsi="Arial"/>
      <w:sz w:val="22"/>
    </w:rPr>
  </w:style>
  <w:style w:type="character" w:customStyle="1" w:styleId="pointnormal1">
    <w:name w:val="point_normal1"/>
    <w:rPr>
      <w:rFonts w:ascii="Arial" w:hAnsi="Arial" w:cs="Arial" w:hint="default"/>
      <w:sz w:val="18"/>
      <w:szCs w:val="18"/>
    </w:rPr>
  </w:style>
  <w:style w:type="paragraph" w:styleId="Listenabsatz">
    <w:name w:val="List Paragraph"/>
    <w:basedOn w:val="Standard"/>
    <w:uiPriority w:val="34"/>
    <w:qFormat/>
    <w:pPr>
      <w:ind w:left="720"/>
      <w:contextualSpacing/>
    </w:pPr>
  </w:style>
  <w:style w:type="character" w:customStyle="1" w:styleId="para">
    <w:name w:val="para"/>
    <w:rPr>
      <w:rFonts w:cs="Times New Roman"/>
    </w:rPr>
  </w:style>
  <w:style w:type="paragraph" w:styleId="KeinLeerraum">
    <w:name w:val="No Spacing"/>
    <w:basedOn w:val="Standard"/>
    <w:uiPriority w:val="1"/>
    <w:qFormat/>
    <w:rPr>
      <w:rFonts w:eastAsia="Arial Unicode MS"/>
      <w:b/>
      <w:sz w:val="20"/>
    </w:rPr>
  </w:style>
  <w:style w:type="table" w:customStyle="1" w:styleId="Tabellengitternetz">
    <w:name w:val="Tabellengitternetz"/>
    <w:basedOn w:val="NormaleTabelle"/>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KopfzeileZchn">
    <w:name w:val="Kopfzeile Zchn"/>
    <w:aliases w:val="DTSKopfzeile Zchn"/>
    <w:link w:val="Kopfzeile"/>
    <w:uiPriority w:val="99"/>
    <w:locked/>
    <w:rPr>
      <w:rFonts w:ascii="Arial" w:hAnsi="Arial"/>
      <w:sz w:val="22"/>
      <w:lang w:eastAsia="en-US"/>
    </w:rPr>
  </w:style>
  <w:style w:type="character" w:customStyle="1" w:styleId="BasisabsatzCharCharZchn">
    <w:name w:val="Basisabsatz Char Char Zchn"/>
    <w:link w:val="BasisabsatzCharChar"/>
    <w:rPr>
      <w:rFonts w:ascii="Arial" w:hAnsi="Arial"/>
      <w:sz w:val="22"/>
      <w:lang w:eastAsia="en-US"/>
    </w:rPr>
  </w:style>
  <w:style w:type="character" w:customStyle="1" w:styleId="berschrift2Zchn">
    <w:name w:val="Überschrift 2 Zchn"/>
    <w:aliases w:val="Headline 2 Zchn,Gliederung2 Zchn,Header 2 Zchn,H2 Zchn,H21 Zchn,H22 Zchn,H23 Zchn,H24 Zchn,H25 Zchn,H26 Zchn,H27 Zchn,H28 Zchn,H29 Zchn,H210 Zchn,H211 Zchn,H212 Zchn,H213 Zchn,H221 Zchn,H231 Zchn,H241 Zchn,H251 Zchn,H261 Zchn,l2 Zchn"/>
    <w:link w:val="berschrift2"/>
    <w:rPr>
      <w:rFonts w:ascii="Arial" w:hAnsi="Arial"/>
      <w:b/>
      <w:noProof/>
      <w:sz w:val="28"/>
      <w:lang w:eastAsia="en-US"/>
    </w:rPr>
  </w:style>
  <w:style w:type="character" w:customStyle="1" w:styleId="TextkrperZchn">
    <w:name w:val="Textkörper Zchn"/>
    <w:link w:val="Textkrper"/>
    <w:rPr>
      <w:rFonts w:ascii="TimesNewRoman" w:hAnsi="TimesNewRoman"/>
      <w:color w:val="0000FF"/>
      <w:sz w:val="22"/>
      <w:lang w:eastAsia="en-US"/>
    </w:rPr>
  </w:style>
  <w:style w:type="character" w:customStyle="1" w:styleId="KommentartextZchn">
    <w:name w:val="Kommentartext Zchn"/>
    <w:link w:val="Kommentartext"/>
    <w:uiPriority w:val="99"/>
    <w:semiHidden/>
  </w:style>
  <w:style w:type="paragraph" w:customStyle="1" w:styleId="Standa">
    <w:name w:val="Standa"/>
    <w:uiPriority w:val="99"/>
    <w:rPr>
      <w:rFonts w:ascii="Arial" w:hAnsi="Arial"/>
      <w:sz w:val="22"/>
      <w:lang w:eastAsia="en-US"/>
    </w:rPr>
  </w:style>
  <w:style w:type="paragraph" w:customStyle="1" w:styleId="Flietext">
    <w:name w:val="Fließtext"/>
    <w:basedOn w:val="BasisabsatzCharChar"/>
    <w:link w:val="FlietextZchn"/>
    <w:qFormat/>
    <w:pPr>
      <w:spacing w:after="0"/>
      <w:jc w:val="left"/>
    </w:pPr>
    <w:rPr>
      <w:rFonts w:cs="Arial"/>
    </w:rPr>
  </w:style>
  <w:style w:type="character" w:customStyle="1" w:styleId="FlietextZchn">
    <w:name w:val="Fließtext Zchn"/>
    <w:link w:val="Flietext"/>
    <w:rPr>
      <w:rFonts w:ascii="Arial" w:hAnsi="Arial" w:cs="Arial"/>
      <w:sz w:val="22"/>
      <w:lang w:eastAsia="en-US"/>
    </w:rPr>
  </w:style>
  <w:style w:type="table" w:styleId="Tabellenraster">
    <w:name w:val="Table Grid"/>
    <w:basedOn w:val="NormaleTabelle"/>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Pr>
      <w:color w:val="808080"/>
    </w:rPr>
  </w:style>
  <w:style w:type="character" w:styleId="NichtaufgelsteErwhnung">
    <w:name w:val="Unresolved Mention"/>
    <w:basedOn w:val="Absatz-Standardschriftar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428834">
      <w:bodyDiv w:val="1"/>
      <w:marLeft w:val="0"/>
      <w:marRight w:val="0"/>
      <w:marTop w:val="0"/>
      <w:marBottom w:val="0"/>
      <w:divBdr>
        <w:top w:val="none" w:sz="0" w:space="0" w:color="auto"/>
        <w:left w:val="none" w:sz="0" w:space="0" w:color="auto"/>
        <w:bottom w:val="none" w:sz="0" w:space="0" w:color="auto"/>
        <w:right w:val="none" w:sz="0" w:space="0" w:color="auto"/>
      </w:divBdr>
    </w:div>
    <w:div w:id="339048565">
      <w:bodyDiv w:val="1"/>
      <w:marLeft w:val="0"/>
      <w:marRight w:val="0"/>
      <w:marTop w:val="0"/>
      <w:marBottom w:val="0"/>
      <w:divBdr>
        <w:top w:val="none" w:sz="0" w:space="0" w:color="auto"/>
        <w:left w:val="none" w:sz="0" w:space="0" w:color="auto"/>
        <w:bottom w:val="none" w:sz="0" w:space="0" w:color="auto"/>
        <w:right w:val="none" w:sz="0" w:space="0" w:color="auto"/>
      </w:divBdr>
    </w:div>
    <w:div w:id="532115210">
      <w:bodyDiv w:val="1"/>
      <w:marLeft w:val="0"/>
      <w:marRight w:val="0"/>
      <w:marTop w:val="0"/>
      <w:marBottom w:val="0"/>
      <w:divBdr>
        <w:top w:val="none" w:sz="0" w:space="0" w:color="auto"/>
        <w:left w:val="none" w:sz="0" w:space="0" w:color="auto"/>
        <w:bottom w:val="none" w:sz="0" w:space="0" w:color="auto"/>
        <w:right w:val="none" w:sz="0" w:space="0" w:color="auto"/>
      </w:divBdr>
    </w:div>
    <w:div w:id="608051580">
      <w:bodyDiv w:val="1"/>
      <w:marLeft w:val="0"/>
      <w:marRight w:val="0"/>
      <w:marTop w:val="0"/>
      <w:marBottom w:val="0"/>
      <w:divBdr>
        <w:top w:val="none" w:sz="0" w:space="0" w:color="auto"/>
        <w:left w:val="none" w:sz="0" w:space="0" w:color="auto"/>
        <w:bottom w:val="none" w:sz="0" w:space="0" w:color="auto"/>
        <w:right w:val="none" w:sz="0" w:space="0" w:color="auto"/>
      </w:divBdr>
    </w:div>
    <w:div w:id="800999198">
      <w:bodyDiv w:val="1"/>
      <w:marLeft w:val="0"/>
      <w:marRight w:val="0"/>
      <w:marTop w:val="0"/>
      <w:marBottom w:val="0"/>
      <w:divBdr>
        <w:top w:val="none" w:sz="0" w:space="0" w:color="auto"/>
        <w:left w:val="none" w:sz="0" w:space="0" w:color="auto"/>
        <w:bottom w:val="none" w:sz="0" w:space="0" w:color="auto"/>
        <w:right w:val="none" w:sz="0" w:space="0" w:color="auto"/>
      </w:divBdr>
    </w:div>
    <w:div w:id="833954302">
      <w:bodyDiv w:val="1"/>
      <w:marLeft w:val="0"/>
      <w:marRight w:val="0"/>
      <w:marTop w:val="0"/>
      <w:marBottom w:val="0"/>
      <w:divBdr>
        <w:top w:val="none" w:sz="0" w:space="0" w:color="auto"/>
        <w:left w:val="none" w:sz="0" w:space="0" w:color="auto"/>
        <w:bottom w:val="none" w:sz="0" w:space="0" w:color="auto"/>
        <w:right w:val="none" w:sz="0" w:space="0" w:color="auto"/>
      </w:divBdr>
    </w:div>
    <w:div w:id="877593223">
      <w:bodyDiv w:val="1"/>
      <w:marLeft w:val="0"/>
      <w:marRight w:val="0"/>
      <w:marTop w:val="0"/>
      <w:marBottom w:val="0"/>
      <w:divBdr>
        <w:top w:val="none" w:sz="0" w:space="0" w:color="auto"/>
        <w:left w:val="none" w:sz="0" w:space="0" w:color="auto"/>
        <w:bottom w:val="none" w:sz="0" w:space="0" w:color="auto"/>
        <w:right w:val="none" w:sz="0" w:space="0" w:color="auto"/>
      </w:divBdr>
    </w:div>
    <w:div w:id="1045179612">
      <w:bodyDiv w:val="1"/>
      <w:marLeft w:val="0"/>
      <w:marRight w:val="0"/>
      <w:marTop w:val="0"/>
      <w:marBottom w:val="0"/>
      <w:divBdr>
        <w:top w:val="none" w:sz="0" w:space="0" w:color="auto"/>
        <w:left w:val="none" w:sz="0" w:space="0" w:color="auto"/>
        <w:bottom w:val="none" w:sz="0" w:space="0" w:color="auto"/>
        <w:right w:val="none" w:sz="0" w:space="0" w:color="auto"/>
      </w:divBdr>
    </w:div>
    <w:div w:id="1275095278">
      <w:bodyDiv w:val="1"/>
      <w:marLeft w:val="0"/>
      <w:marRight w:val="0"/>
      <w:marTop w:val="0"/>
      <w:marBottom w:val="0"/>
      <w:divBdr>
        <w:top w:val="none" w:sz="0" w:space="0" w:color="auto"/>
        <w:left w:val="none" w:sz="0" w:space="0" w:color="auto"/>
        <w:bottom w:val="none" w:sz="0" w:space="0" w:color="auto"/>
        <w:right w:val="none" w:sz="0" w:space="0" w:color="auto"/>
      </w:divBdr>
    </w:div>
    <w:div w:id="1423065946">
      <w:bodyDiv w:val="1"/>
      <w:marLeft w:val="0"/>
      <w:marRight w:val="0"/>
      <w:marTop w:val="0"/>
      <w:marBottom w:val="0"/>
      <w:divBdr>
        <w:top w:val="none" w:sz="0" w:space="0" w:color="auto"/>
        <w:left w:val="none" w:sz="0" w:space="0" w:color="auto"/>
        <w:bottom w:val="none" w:sz="0" w:space="0" w:color="auto"/>
        <w:right w:val="none" w:sz="0" w:space="0" w:color="auto"/>
      </w:divBdr>
    </w:div>
    <w:div w:id="1423914637">
      <w:bodyDiv w:val="1"/>
      <w:marLeft w:val="0"/>
      <w:marRight w:val="0"/>
      <w:marTop w:val="0"/>
      <w:marBottom w:val="0"/>
      <w:divBdr>
        <w:top w:val="none" w:sz="0" w:space="0" w:color="auto"/>
        <w:left w:val="none" w:sz="0" w:space="0" w:color="auto"/>
        <w:bottom w:val="none" w:sz="0" w:space="0" w:color="auto"/>
        <w:right w:val="none" w:sz="0" w:space="0" w:color="auto"/>
      </w:divBdr>
    </w:div>
    <w:div w:id="1646011722">
      <w:bodyDiv w:val="1"/>
      <w:marLeft w:val="0"/>
      <w:marRight w:val="0"/>
      <w:marTop w:val="0"/>
      <w:marBottom w:val="0"/>
      <w:divBdr>
        <w:top w:val="none" w:sz="0" w:space="0" w:color="auto"/>
        <w:left w:val="none" w:sz="0" w:space="0" w:color="auto"/>
        <w:bottom w:val="none" w:sz="0" w:space="0" w:color="auto"/>
        <w:right w:val="none" w:sz="0" w:space="0" w:color="auto"/>
      </w:divBdr>
    </w:div>
    <w:div w:id="1671984382">
      <w:bodyDiv w:val="1"/>
      <w:marLeft w:val="0"/>
      <w:marRight w:val="0"/>
      <w:marTop w:val="0"/>
      <w:marBottom w:val="0"/>
      <w:divBdr>
        <w:top w:val="none" w:sz="0" w:space="0" w:color="auto"/>
        <w:left w:val="none" w:sz="0" w:space="0" w:color="auto"/>
        <w:bottom w:val="none" w:sz="0" w:space="0" w:color="auto"/>
        <w:right w:val="none" w:sz="0" w:space="0" w:color="auto"/>
      </w:divBdr>
    </w:div>
    <w:div w:id="1751731672">
      <w:bodyDiv w:val="1"/>
      <w:marLeft w:val="0"/>
      <w:marRight w:val="0"/>
      <w:marTop w:val="0"/>
      <w:marBottom w:val="0"/>
      <w:divBdr>
        <w:top w:val="none" w:sz="0" w:space="0" w:color="auto"/>
        <w:left w:val="none" w:sz="0" w:space="0" w:color="auto"/>
        <w:bottom w:val="none" w:sz="0" w:space="0" w:color="auto"/>
        <w:right w:val="none" w:sz="0" w:space="0" w:color="auto"/>
      </w:divBdr>
    </w:div>
    <w:div w:id="1764767257">
      <w:bodyDiv w:val="1"/>
      <w:marLeft w:val="0"/>
      <w:marRight w:val="0"/>
      <w:marTop w:val="0"/>
      <w:marBottom w:val="0"/>
      <w:divBdr>
        <w:top w:val="none" w:sz="0" w:space="0" w:color="auto"/>
        <w:left w:val="none" w:sz="0" w:space="0" w:color="auto"/>
        <w:bottom w:val="none" w:sz="0" w:space="0" w:color="auto"/>
        <w:right w:val="none" w:sz="0" w:space="0" w:color="auto"/>
      </w:divBdr>
    </w:div>
    <w:div w:id="1804151326">
      <w:bodyDiv w:val="1"/>
      <w:marLeft w:val="0"/>
      <w:marRight w:val="0"/>
      <w:marTop w:val="0"/>
      <w:marBottom w:val="0"/>
      <w:divBdr>
        <w:top w:val="none" w:sz="0" w:space="0" w:color="auto"/>
        <w:left w:val="none" w:sz="0" w:space="0" w:color="auto"/>
        <w:bottom w:val="none" w:sz="0" w:space="0" w:color="auto"/>
        <w:right w:val="none" w:sz="0" w:space="0" w:color="auto"/>
      </w:divBdr>
      <w:divsChild>
        <w:div w:id="807358188">
          <w:marLeft w:val="0"/>
          <w:marRight w:val="0"/>
          <w:marTop w:val="0"/>
          <w:marBottom w:val="0"/>
          <w:divBdr>
            <w:top w:val="none" w:sz="0" w:space="0" w:color="auto"/>
            <w:left w:val="none" w:sz="0" w:space="0" w:color="auto"/>
            <w:bottom w:val="none" w:sz="0" w:space="0" w:color="auto"/>
            <w:right w:val="none" w:sz="0" w:space="0" w:color="auto"/>
          </w:divBdr>
        </w:div>
      </w:divsChild>
    </w:div>
    <w:div w:id="181568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wtek.rlp.de/ministerium/zugeordnete-institutionen-1/vergabekammer" TargetMode="External"/><Relationship Id="rId13" Type="http://schemas.openxmlformats.org/officeDocument/2006/relationships/hyperlink" Target="http://www.auftragsboerse.de" TargetMode="External"/><Relationship Id="rId18" Type="http://schemas.openxmlformats.org/officeDocument/2006/relationships/hyperlink" Target="https://www.digitale-verwaltung.de/Webs/DV/DE/aktuelles-service/it-einkauf/evb-it-und-bvb/evb-it-und-bvb-node.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uftragsboerse.de" TargetMode="External"/><Relationship Id="rId17" Type="http://schemas.openxmlformats.org/officeDocument/2006/relationships/hyperlink" Target="https://www.digitale-verwaltung.de/SharedDocs/downloads/Webs/DV/DE/digitale-loesungen/it-einkauf/ufab/ufab2018.html"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ZentraleVergabestelle@ludwigshafen.d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uftragsboerse.d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bieter@staatsanzeiger.de" TargetMode="External"/><Relationship Id="rId23" Type="http://schemas.openxmlformats.org/officeDocument/2006/relationships/footer" Target="footer2.xml"/><Relationship Id="rId10" Type="http://schemas.openxmlformats.org/officeDocument/2006/relationships/hyperlink" Target="http://www.auftragsboerse.de" TargetMode="External"/><Relationship Id="rId19" Type="http://schemas.openxmlformats.org/officeDocument/2006/relationships/hyperlink" Target="https://www.bundeswirtschaftsministerium.de/Redaktion/DE/Artikel/Wirtschaft/vergabe-uebersicht-und-rechtsgrundlagen.html" TargetMode="External"/><Relationship Id="rId4" Type="http://schemas.openxmlformats.org/officeDocument/2006/relationships/settings" Target="settings.xml"/><Relationship Id="rId9" Type="http://schemas.openxmlformats.org/officeDocument/2006/relationships/hyperlink" Target="mailto:vergabekammer.rlp@mwvlw.rlp.de" TargetMode="External"/><Relationship Id="rId14" Type="http://schemas.openxmlformats.org/officeDocument/2006/relationships/hyperlink" Target="http://www.auftragsboerse.de"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H:\Ausschreibungen\Vorlagen\Angebotsvorlage.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9A1B1FDD0A64CE2B90B080362692501"/>
        <w:category>
          <w:name w:val="Allgemein"/>
          <w:gallery w:val="placeholder"/>
        </w:category>
        <w:types>
          <w:type w:val="bbPlcHdr"/>
        </w:types>
        <w:behaviors>
          <w:behavior w:val="content"/>
        </w:behaviors>
        <w:guid w:val="{F91BEE16-BF49-42BD-BED1-5D8FF767B48C}"/>
      </w:docPartPr>
      <w:docPartBody>
        <w:p>
          <w:r>
            <w:rPr>
              <w:rStyle w:val="Platzhaltertext"/>
            </w:rPr>
            <w:t>Klicken oder tippen Sie hier, um Text einzugeben.</w:t>
          </w:r>
        </w:p>
      </w:docPartBody>
    </w:docPart>
    <w:docPart>
      <w:docPartPr>
        <w:name w:val="8873322BB3EA42129A6A2556E01E5914"/>
        <w:category>
          <w:name w:val="Allgemein"/>
          <w:gallery w:val="placeholder"/>
        </w:category>
        <w:types>
          <w:type w:val="bbPlcHdr"/>
        </w:types>
        <w:behaviors>
          <w:behavior w:val="content"/>
        </w:behaviors>
        <w:guid w:val="{98481970-38AA-4EFF-BC06-0045278F47F4}"/>
      </w:docPartPr>
      <w:docPartBody>
        <w:p>
          <w:r>
            <w:rPr>
              <w:rStyle w:val="Platzhaltertext"/>
              <w:sz w:val="20"/>
            </w:rPr>
            <w:t>Klicken oder tippen Sie hier, um Text einzugeben.</w:t>
          </w:r>
        </w:p>
      </w:docPartBody>
    </w:docPart>
    <w:docPart>
      <w:docPartPr>
        <w:name w:val="E91D6DD5DCFB418BBF6EF97CE73B7BDE"/>
        <w:category>
          <w:name w:val="Allgemein"/>
          <w:gallery w:val="placeholder"/>
        </w:category>
        <w:types>
          <w:type w:val="bbPlcHdr"/>
        </w:types>
        <w:behaviors>
          <w:behavior w:val="content"/>
        </w:behaviors>
        <w:guid w:val="{9E700E04-16DD-436C-A867-CBA8D07CCEB3}"/>
      </w:docPartPr>
      <w:docPartBody>
        <w:p>
          <w:r>
            <w:rPr>
              <w:rStyle w:val="Platzhaltertext"/>
              <w:sz w:val="20"/>
            </w:rPr>
            <w:t>Klicken oder tippen Sie hier, um Text einzugeben.</w:t>
          </w:r>
        </w:p>
      </w:docPartBody>
    </w:docPart>
    <w:docPart>
      <w:docPartPr>
        <w:name w:val="421AAF92E473442C9944371394AECAAF"/>
        <w:category>
          <w:name w:val="Allgemein"/>
          <w:gallery w:val="placeholder"/>
        </w:category>
        <w:types>
          <w:type w:val="bbPlcHdr"/>
        </w:types>
        <w:behaviors>
          <w:behavior w:val="content"/>
        </w:behaviors>
        <w:guid w:val="{5DAA8DA2-5F16-4628-B855-27790838B42E}"/>
      </w:docPartPr>
      <w:docPartBody>
        <w:p>
          <w:r>
            <w:rPr>
              <w:rStyle w:val="Platzhaltertext"/>
              <w:sz w:val="20"/>
            </w:rPr>
            <w:t>Klicken oder tippen Sie hier, um Text einzugeben.</w:t>
          </w:r>
        </w:p>
      </w:docPartBody>
    </w:docPart>
    <w:docPart>
      <w:docPartPr>
        <w:name w:val="6A1A84ECD5544E9A9F395CA2D9E03496"/>
        <w:category>
          <w:name w:val="Allgemein"/>
          <w:gallery w:val="placeholder"/>
        </w:category>
        <w:types>
          <w:type w:val="bbPlcHdr"/>
        </w:types>
        <w:behaviors>
          <w:behavior w:val="content"/>
        </w:behaviors>
        <w:guid w:val="{9A5B5330-570E-48F3-8AB6-B41681993BA2}"/>
      </w:docPartPr>
      <w:docPartBody>
        <w:p>
          <w:r>
            <w:rPr>
              <w:rStyle w:val="Platzhaltertext"/>
              <w:sz w:val="20"/>
            </w:rPr>
            <w:t>Klicken oder tippen Sie hier, um Text einzugeben.</w:t>
          </w:r>
        </w:p>
      </w:docPartBody>
    </w:docPart>
    <w:docPart>
      <w:docPartPr>
        <w:name w:val="AC69D749F789441D8A9E82ADB8F87D27"/>
        <w:category>
          <w:name w:val="Allgemein"/>
          <w:gallery w:val="placeholder"/>
        </w:category>
        <w:types>
          <w:type w:val="bbPlcHdr"/>
        </w:types>
        <w:behaviors>
          <w:behavior w:val="content"/>
        </w:behaviors>
        <w:guid w:val="{D20F00AA-582A-48C5-B236-D0FF8E60C1DB}"/>
      </w:docPartPr>
      <w:docPartBody>
        <w:p>
          <w:r>
            <w:rPr>
              <w:rStyle w:val="Platzhaltertext"/>
              <w:sz w:val="20"/>
            </w:rPr>
            <w:t>Klicken oder tippen Sie hier, um Text einzugeben.</w:t>
          </w:r>
        </w:p>
      </w:docPartBody>
    </w:docPart>
    <w:docPart>
      <w:docPartPr>
        <w:name w:val="E417D93A7CA4408CA43C8F3BA46A91F0"/>
        <w:category>
          <w:name w:val="Allgemein"/>
          <w:gallery w:val="placeholder"/>
        </w:category>
        <w:types>
          <w:type w:val="bbPlcHdr"/>
        </w:types>
        <w:behaviors>
          <w:behavior w:val="content"/>
        </w:behaviors>
        <w:guid w:val="{957C008A-FC42-4DB6-AEAF-6E05ED885CB5}"/>
      </w:docPartPr>
      <w:docPartBody>
        <w:p>
          <w:r>
            <w:rPr>
              <w:rStyle w:val="Platzhaltertext"/>
              <w:sz w:val="20"/>
            </w:rPr>
            <w:t>Klicken oder tippen Sie hier, um Text einzugeben.</w:t>
          </w:r>
        </w:p>
      </w:docPartBody>
    </w:docPart>
    <w:docPart>
      <w:docPartPr>
        <w:name w:val="9661D3B6D4E147589B9E933B54F54FE1"/>
        <w:category>
          <w:name w:val="Allgemein"/>
          <w:gallery w:val="placeholder"/>
        </w:category>
        <w:types>
          <w:type w:val="bbPlcHdr"/>
        </w:types>
        <w:behaviors>
          <w:behavior w:val="content"/>
        </w:behaviors>
        <w:guid w:val="{ECDEC69F-BFD7-4C12-892C-3ABEBEFE8D75}"/>
      </w:docPartPr>
      <w:docPartBody>
        <w:p>
          <w:r>
            <w:rPr>
              <w:rStyle w:val="Platzhaltertext"/>
              <w:sz w:val="20"/>
            </w:rPr>
            <w:t>Klicken oder tippen Sie hier, um Text einzugeben.</w:t>
          </w:r>
        </w:p>
      </w:docPartBody>
    </w:docPart>
    <w:docPart>
      <w:docPartPr>
        <w:name w:val="9C06D83350844C5491B8ECCFCB56C3F8"/>
        <w:category>
          <w:name w:val="Allgemein"/>
          <w:gallery w:val="placeholder"/>
        </w:category>
        <w:types>
          <w:type w:val="bbPlcHdr"/>
        </w:types>
        <w:behaviors>
          <w:behavior w:val="content"/>
        </w:behaviors>
        <w:guid w:val="{33D8BB17-549C-4E1C-B4D8-866518F124AA}"/>
      </w:docPartPr>
      <w:docPartBody>
        <w:p>
          <w:r>
            <w:rPr>
              <w:rStyle w:val="Platzhaltertext"/>
              <w:sz w:val="20"/>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Yu Gothic"/>
    <w:panose1 w:val="02020609040205080304"/>
    <w:charset w:val="80"/>
    <w:family w:val="roman"/>
    <w:notTrueType/>
    <w:pitch w:val="fixed"/>
    <w:sig w:usb0="00000000" w:usb1="08070000" w:usb2="00000010" w:usb3="00000000" w:csb0="00020000" w:csb1="00000000"/>
  </w:font>
  <w:font w:name="Courier (W1)">
    <w:altName w:val="Courier New"/>
    <w:panose1 w:val="00000000000000000000"/>
    <w:charset w:val="00"/>
    <w:family w:val="modern"/>
    <w:notTrueType/>
    <w:pitch w:val="fixed"/>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Fet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AD6E5-D217-472A-8BAC-C090CF6A2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Angebotsvorlage.dot</Template>
  <TotalTime>0</TotalTime>
  <Pages>24</Pages>
  <Words>3892</Words>
  <Characters>31840</Characters>
  <Application>Microsoft Office Word</Application>
  <DocSecurity>0</DocSecurity>
  <Lines>265</Lines>
  <Paragraphs>71</Paragraphs>
  <ScaleCrop>false</ScaleCrop>
  <HeadingPairs>
    <vt:vector size="2" baseType="variant">
      <vt:variant>
        <vt:lpstr>Titel</vt:lpstr>
      </vt:variant>
      <vt:variant>
        <vt:i4>1</vt:i4>
      </vt:variant>
    </vt:vector>
  </HeadingPairs>
  <TitlesOfParts>
    <vt:vector size="1" baseType="lpstr">
      <vt:lpstr>Leistungsverzeichnis 21" LCD-Monitore</vt:lpstr>
    </vt:vector>
  </TitlesOfParts>
  <Company>Stadt Ludwigshafen</Company>
  <LinksUpToDate>false</LinksUpToDate>
  <CharactersWithSpaces>35661</CharactersWithSpaces>
  <SharedDoc>false</SharedDoc>
  <HLinks>
    <vt:vector size="504" baseType="variant">
      <vt:variant>
        <vt:i4>720944</vt:i4>
      </vt:variant>
      <vt:variant>
        <vt:i4>495</vt:i4>
      </vt:variant>
      <vt:variant>
        <vt:i4>0</vt:i4>
      </vt:variant>
      <vt:variant>
        <vt:i4>5</vt:i4>
      </vt:variant>
      <vt:variant>
        <vt:lpwstr>http://www.cio.bund.de/DE/IT-Angebot/IT-Beschaffunf/UfAB/ufab_node.html</vt:lpwstr>
      </vt:variant>
      <vt:variant>
        <vt:lpwstr/>
      </vt:variant>
      <vt:variant>
        <vt:i4>7733293</vt:i4>
      </vt:variant>
      <vt:variant>
        <vt:i4>486</vt:i4>
      </vt:variant>
      <vt:variant>
        <vt:i4>0</vt:i4>
      </vt:variant>
      <vt:variant>
        <vt:i4>5</vt:i4>
      </vt:variant>
      <vt:variant>
        <vt:lpwstr>www.auftragsboerse.de </vt:lpwstr>
      </vt:variant>
      <vt:variant>
        <vt:lpwstr/>
      </vt:variant>
      <vt:variant>
        <vt:i4>2555934</vt:i4>
      </vt:variant>
      <vt:variant>
        <vt:i4>483</vt:i4>
      </vt:variant>
      <vt:variant>
        <vt:i4>0</vt:i4>
      </vt:variant>
      <vt:variant>
        <vt:i4>5</vt:i4>
      </vt:variant>
      <vt:variant>
        <vt:lpwstr>mailto:submission@Ludwigshafen.de</vt:lpwstr>
      </vt:variant>
      <vt:variant>
        <vt:lpwstr/>
      </vt:variant>
      <vt:variant>
        <vt:i4>2555934</vt:i4>
      </vt:variant>
      <vt:variant>
        <vt:i4>480</vt:i4>
      </vt:variant>
      <vt:variant>
        <vt:i4>0</vt:i4>
      </vt:variant>
      <vt:variant>
        <vt:i4>5</vt:i4>
      </vt:variant>
      <vt:variant>
        <vt:lpwstr>mailto:submission@Ludwigshafen.de</vt:lpwstr>
      </vt:variant>
      <vt:variant>
        <vt:lpwstr/>
      </vt:variant>
      <vt:variant>
        <vt:i4>2555934</vt:i4>
      </vt:variant>
      <vt:variant>
        <vt:i4>477</vt:i4>
      </vt:variant>
      <vt:variant>
        <vt:i4>0</vt:i4>
      </vt:variant>
      <vt:variant>
        <vt:i4>5</vt:i4>
      </vt:variant>
      <vt:variant>
        <vt:lpwstr>mailto:submission@Ludwigshafen.de</vt:lpwstr>
      </vt:variant>
      <vt:variant>
        <vt:lpwstr/>
      </vt:variant>
      <vt:variant>
        <vt:i4>1966142</vt:i4>
      </vt:variant>
      <vt:variant>
        <vt:i4>470</vt:i4>
      </vt:variant>
      <vt:variant>
        <vt:i4>0</vt:i4>
      </vt:variant>
      <vt:variant>
        <vt:i4>5</vt:i4>
      </vt:variant>
      <vt:variant>
        <vt:lpwstr/>
      </vt:variant>
      <vt:variant>
        <vt:lpwstr>_Toc488928001</vt:lpwstr>
      </vt:variant>
      <vt:variant>
        <vt:i4>1966142</vt:i4>
      </vt:variant>
      <vt:variant>
        <vt:i4>464</vt:i4>
      </vt:variant>
      <vt:variant>
        <vt:i4>0</vt:i4>
      </vt:variant>
      <vt:variant>
        <vt:i4>5</vt:i4>
      </vt:variant>
      <vt:variant>
        <vt:lpwstr/>
      </vt:variant>
      <vt:variant>
        <vt:lpwstr>_Toc488928000</vt:lpwstr>
      </vt:variant>
      <vt:variant>
        <vt:i4>1572919</vt:i4>
      </vt:variant>
      <vt:variant>
        <vt:i4>458</vt:i4>
      </vt:variant>
      <vt:variant>
        <vt:i4>0</vt:i4>
      </vt:variant>
      <vt:variant>
        <vt:i4>5</vt:i4>
      </vt:variant>
      <vt:variant>
        <vt:lpwstr/>
      </vt:variant>
      <vt:variant>
        <vt:lpwstr>_Toc488927999</vt:lpwstr>
      </vt:variant>
      <vt:variant>
        <vt:i4>1572919</vt:i4>
      </vt:variant>
      <vt:variant>
        <vt:i4>452</vt:i4>
      </vt:variant>
      <vt:variant>
        <vt:i4>0</vt:i4>
      </vt:variant>
      <vt:variant>
        <vt:i4>5</vt:i4>
      </vt:variant>
      <vt:variant>
        <vt:lpwstr/>
      </vt:variant>
      <vt:variant>
        <vt:lpwstr>_Toc488927998</vt:lpwstr>
      </vt:variant>
      <vt:variant>
        <vt:i4>1572919</vt:i4>
      </vt:variant>
      <vt:variant>
        <vt:i4>446</vt:i4>
      </vt:variant>
      <vt:variant>
        <vt:i4>0</vt:i4>
      </vt:variant>
      <vt:variant>
        <vt:i4>5</vt:i4>
      </vt:variant>
      <vt:variant>
        <vt:lpwstr/>
      </vt:variant>
      <vt:variant>
        <vt:lpwstr>_Toc488927997</vt:lpwstr>
      </vt:variant>
      <vt:variant>
        <vt:i4>1572919</vt:i4>
      </vt:variant>
      <vt:variant>
        <vt:i4>440</vt:i4>
      </vt:variant>
      <vt:variant>
        <vt:i4>0</vt:i4>
      </vt:variant>
      <vt:variant>
        <vt:i4>5</vt:i4>
      </vt:variant>
      <vt:variant>
        <vt:lpwstr/>
      </vt:variant>
      <vt:variant>
        <vt:lpwstr>_Toc488927996</vt:lpwstr>
      </vt:variant>
      <vt:variant>
        <vt:i4>1572919</vt:i4>
      </vt:variant>
      <vt:variant>
        <vt:i4>434</vt:i4>
      </vt:variant>
      <vt:variant>
        <vt:i4>0</vt:i4>
      </vt:variant>
      <vt:variant>
        <vt:i4>5</vt:i4>
      </vt:variant>
      <vt:variant>
        <vt:lpwstr/>
      </vt:variant>
      <vt:variant>
        <vt:lpwstr>_Toc488927995</vt:lpwstr>
      </vt:variant>
      <vt:variant>
        <vt:i4>1572919</vt:i4>
      </vt:variant>
      <vt:variant>
        <vt:i4>428</vt:i4>
      </vt:variant>
      <vt:variant>
        <vt:i4>0</vt:i4>
      </vt:variant>
      <vt:variant>
        <vt:i4>5</vt:i4>
      </vt:variant>
      <vt:variant>
        <vt:lpwstr/>
      </vt:variant>
      <vt:variant>
        <vt:lpwstr>_Toc488927994</vt:lpwstr>
      </vt:variant>
      <vt:variant>
        <vt:i4>1572919</vt:i4>
      </vt:variant>
      <vt:variant>
        <vt:i4>422</vt:i4>
      </vt:variant>
      <vt:variant>
        <vt:i4>0</vt:i4>
      </vt:variant>
      <vt:variant>
        <vt:i4>5</vt:i4>
      </vt:variant>
      <vt:variant>
        <vt:lpwstr/>
      </vt:variant>
      <vt:variant>
        <vt:lpwstr>_Toc488927993</vt:lpwstr>
      </vt:variant>
      <vt:variant>
        <vt:i4>1572919</vt:i4>
      </vt:variant>
      <vt:variant>
        <vt:i4>416</vt:i4>
      </vt:variant>
      <vt:variant>
        <vt:i4>0</vt:i4>
      </vt:variant>
      <vt:variant>
        <vt:i4>5</vt:i4>
      </vt:variant>
      <vt:variant>
        <vt:lpwstr/>
      </vt:variant>
      <vt:variant>
        <vt:lpwstr>_Toc488927992</vt:lpwstr>
      </vt:variant>
      <vt:variant>
        <vt:i4>1572919</vt:i4>
      </vt:variant>
      <vt:variant>
        <vt:i4>410</vt:i4>
      </vt:variant>
      <vt:variant>
        <vt:i4>0</vt:i4>
      </vt:variant>
      <vt:variant>
        <vt:i4>5</vt:i4>
      </vt:variant>
      <vt:variant>
        <vt:lpwstr/>
      </vt:variant>
      <vt:variant>
        <vt:lpwstr>_Toc488927991</vt:lpwstr>
      </vt:variant>
      <vt:variant>
        <vt:i4>1572919</vt:i4>
      </vt:variant>
      <vt:variant>
        <vt:i4>404</vt:i4>
      </vt:variant>
      <vt:variant>
        <vt:i4>0</vt:i4>
      </vt:variant>
      <vt:variant>
        <vt:i4>5</vt:i4>
      </vt:variant>
      <vt:variant>
        <vt:lpwstr/>
      </vt:variant>
      <vt:variant>
        <vt:lpwstr>_Toc488927990</vt:lpwstr>
      </vt:variant>
      <vt:variant>
        <vt:i4>1638455</vt:i4>
      </vt:variant>
      <vt:variant>
        <vt:i4>398</vt:i4>
      </vt:variant>
      <vt:variant>
        <vt:i4>0</vt:i4>
      </vt:variant>
      <vt:variant>
        <vt:i4>5</vt:i4>
      </vt:variant>
      <vt:variant>
        <vt:lpwstr/>
      </vt:variant>
      <vt:variant>
        <vt:lpwstr>_Toc488927989</vt:lpwstr>
      </vt:variant>
      <vt:variant>
        <vt:i4>1638455</vt:i4>
      </vt:variant>
      <vt:variant>
        <vt:i4>392</vt:i4>
      </vt:variant>
      <vt:variant>
        <vt:i4>0</vt:i4>
      </vt:variant>
      <vt:variant>
        <vt:i4>5</vt:i4>
      </vt:variant>
      <vt:variant>
        <vt:lpwstr/>
      </vt:variant>
      <vt:variant>
        <vt:lpwstr>_Toc488927988</vt:lpwstr>
      </vt:variant>
      <vt:variant>
        <vt:i4>1638455</vt:i4>
      </vt:variant>
      <vt:variant>
        <vt:i4>386</vt:i4>
      </vt:variant>
      <vt:variant>
        <vt:i4>0</vt:i4>
      </vt:variant>
      <vt:variant>
        <vt:i4>5</vt:i4>
      </vt:variant>
      <vt:variant>
        <vt:lpwstr/>
      </vt:variant>
      <vt:variant>
        <vt:lpwstr>_Toc488927987</vt:lpwstr>
      </vt:variant>
      <vt:variant>
        <vt:i4>1638455</vt:i4>
      </vt:variant>
      <vt:variant>
        <vt:i4>380</vt:i4>
      </vt:variant>
      <vt:variant>
        <vt:i4>0</vt:i4>
      </vt:variant>
      <vt:variant>
        <vt:i4>5</vt:i4>
      </vt:variant>
      <vt:variant>
        <vt:lpwstr/>
      </vt:variant>
      <vt:variant>
        <vt:lpwstr>_Toc488927986</vt:lpwstr>
      </vt:variant>
      <vt:variant>
        <vt:i4>1638455</vt:i4>
      </vt:variant>
      <vt:variant>
        <vt:i4>374</vt:i4>
      </vt:variant>
      <vt:variant>
        <vt:i4>0</vt:i4>
      </vt:variant>
      <vt:variant>
        <vt:i4>5</vt:i4>
      </vt:variant>
      <vt:variant>
        <vt:lpwstr/>
      </vt:variant>
      <vt:variant>
        <vt:lpwstr>_Toc488927985</vt:lpwstr>
      </vt:variant>
      <vt:variant>
        <vt:i4>1638455</vt:i4>
      </vt:variant>
      <vt:variant>
        <vt:i4>368</vt:i4>
      </vt:variant>
      <vt:variant>
        <vt:i4>0</vt:i4>
      </vt:variant>
      <vt:variant>
        <vt:i4>5</vt:i4>
      </vt:variant>
      <vt:variant>
        <vt:lpwstr/>
      </vt:variant>
      <vt:variant>
        <vt:lpwstr>_Toc488927984</vt:lpwstr>
      </vt:variant>
      <vt:variant>
        <vt:i4>1638455</vt:i4>
      </vt:variant>
      <vt:variant>
        <vt:i4>362</vt:i4>
      </vt:variant>
      <vt:variant>
        <vt:i4>0</vt:i4>
      </vt:variant>
      <vt:variant>
        <vt:i4>5</vt:i4>
      </vt:variant>
      <vt:variant>
        <vt:lpwstr/>
      </vt:variant>
      <vt:variant>
        <vt:lpwstr>_Toc488927983</vt:lpwstr>
      </vt:variant>
      <vt:variant>
        <vt:i4>1638455</vt:i4>
      </vt:variant>
      <vt:variant>
        <vt:i4>356</vt:i4>
      </vt:variant>
      <vt:variant>
        <vt:i4>0</vt:i4>
      </vt:variant>
      <vt:variant>
        <vt:i4>5</vt:i4>
      </vt:variant>
      <vt:variant>
        <vt:lpwstr/>
      </vt:variant>
      <vt:variant>
        <vt:lpwstr>_Toc488927982</vt:lpwstr>
      </vt:variant>
      <vt:variant>
        <vt:i4>1638455</vt:i4>
      </vt:variant>
      <vt:variant>
        <vt:i4>350</vt:i4>
      </vt:variant>
      <vt:variant>
        <vt:i4>0</vt:i4>
      </vt:variant>
      <vt:variant>
        <vt:i4>5</vt:i4>
      </vt:variant>
      <vt:variant>
        <vt:lpwstr/>
      </vt:variant>
      <vt:variant>
        <vt:lpwstr>_Toc488927981</vt:lpwstr>
      </vt:variant>
      <vt:variant>
        <vt:i4>1638455</vt:i4>
      </vt:variant>
      <vt:variant>
        <vt:i4>344</vt:i4>
      </vt:variant>
      <vt:variant>
        <vt:i4>0</vt:i4>
      </vt:variant>
      <vt:variant>
        <vt:i4>5</vt:i4>
      </vt:variant>
      <vt:variant>
        <vt:lpwstr/>
      </vt:variant>
      <vt:variant>
        <vt:lpwstr>_Toc488927980</vt:lpwstr>
      </vt:variant>
      <vt:variant>
        <vt:i4>1441847</vt:i4>
      </vt:variant>
      <vt:variant>
        <vt:i4>338</vt:i4>
      </vt:variant>
      <vt:variant>
        <vt:i4>0</vt:i4>
      </vt:variant>
      <vt:variant>
        <vt:i4>5</vt:i4>
      </vt:variant>
      <vt:variant>
        <vt:lpwstr/>
      </vt:variant>
      <vt:variant>
        <vt:lpwstr>_Toc488927979</vt:lpwstr>
      </vt:variant>
      <vt:variant>
        <vt:i4>1441847</vt:i4>
      </vt:variant>
      <vt:variant>
        <vt:i4>332</vt:i4>
      </vt:variant>
      <vt:variant>
        <vt:i4>0</vt:i4>
      </vt:variant>
      <vt:variant>
        <vt:i4>5</vt:i4>
      </vt:variant>
      <vt:variant>
        <vt:lpwstr/>
      </vt:variant>
      <vt:variant>
        <vt:lpwstr>_Toc488927978</vt:lpwstr>
      </vt:variant>
      <vt:variant>
        <vt:i4>1441847</vt:i4>
      </vt:variant>
      <vt:variant>
        <vt:i4>326</vt:i4>
      </vt:variant>
      <vt:variant>
        <vt:i4>0</vt:i4>
      </vt:variant>
      <vt:variant>
        <vt:i4>5</vt:i4>
      </vt:variant>
      <vt:variant>
        <vt:lpwstr/>
      </vt:variant>
      <vt:variant>
        <vt:lpwstr>_Toc488927977</vt:lpwstr>
      </vt:variant>
      <vt:variant>
        <vt:i4>1441847</vt:i4>
      </vt:variant>
      <vt:variant>
        <vt:i4>320</vt:i4>
      </vt:variant>
      <vt:variant>
        <vt:i4>0</vt:i4>
      </vt:variant>
      <vt:variant>
        <vt:i4>5</vt:i4>
      </vt:variant>
      <vt:variant>
        <vt:lpwstr/>
      </vt:variant>
      <vt:variant>
        <vt:lpwstr>_Toc488927976</vt:lpwstr>
      </vt:variant>
      <vt:variant>
        <vt:i4>1441847</vt:i4>
      </vt:variant>
      <vt:variant>
        <vt:i4>314</vt:i4>
      </vt:variant>
      <vt:variant>
        <vt:i4>0</vt:i4>
      </vt:variant>
      <vt:variant>
        <vt:i4>5</vt:i4>
      </vt:variant>
      <vt:variant>
        <vt:lpwstr/>
      </vt:variant>
      <vt:variant>
        <vt:lpwstr>_Toc488927975</vt:lpwstr>
      </vt:variant>
      <vt:variant>
        <vt:i4>1441847</vt:i4>
      </vt:variant>
      <vt:variant>
        <vt:i4>308</vt:i4>
      </vt:variant>
      <vt:variant>
        <vt:i4>0</vt:i4>
      </vt:variant>
      <vt:variant>
        <vt:i4>5</vt:i4>
      </vt:variant>
      <vt:variant>
        <vt:lpwstr/>
      </vt:variant>
      <vt:variant>
        <vt:lpwstr>_Toc488927974</vt:lpwstr>
      </vt:variant>
      <vt:variant>
        <vt:i4>1441847</vt:i4>
      </vt:variant>
      <vt:variant>
        <vt:i4>302</vt:i4>
      </vt:variant>
      <vt:variant>
        <vt:i4>0</vt:i4>
      </vt:variant>
      <vt:variant>
        <vt:i4>5</vt:i4>
      </vt:variant>
      <vt:variant>
        <vt:lpwstr/>
      </vt:variant>
      <vt:variant>
        <vt:lpwstr>_Toc488927973</vt:lpwstr>
      </vt:variant>
      <vt:variant>
        <vt:i4>1441847</vt:i4>
      </vt:variant>
      <vt:variant>
        <vt:i4>296</vt:i4>
      </vt:variant>
      <vt:variant>
        <vt:i4>0</vt:i4>
      </vt:variant>
      <vt:variant>
        <vt:i4>5</vt:i4>
      </vt:variant>
      <vt:variant>
        <vt:lpwstr/>
      </vt:variant>
      <vt:variant>
        <vt:lpwstr>_Toc488927972</vt:lpwstr>
      </vt:variant>
      <vt:variant>
        <vt:i4>1441847</vt:i4>
      </vt:variant>
      <vt:variant>
        <vt:i4>290</vt:i4>
      </vt:variant>
      <vt:variant>
        <vt:i4>0</vt:i4>
      </vt:variant>
      <vt:variant>
        <vt:i4>5</vt:i4>
      </vt:variant>
      <vt:variant>
        <vt:lpwstr/>
      </vt:variant>
      <vt:variant>
        <vt:lpwstr>_Toc488927971</vt:lpwstr>
      </vt:variant>
      <vt:variant>
        <vt:i4>1441847</vt:i4>
      </vt:variant>
      <vt:variant>
        <vt:i4>284</vt:i4>
      </vt:variant>
      <vt:variant>
        <vt:i4>0</vt:i4>
      </vt:variant>
      <vt:variant>
        <vt:i4>5</vt:i4>
      </vt:variant>
      <vt:variant>
        <vt:lpwstr/>
      </vt:variant>
      <vt:variant>
        <vt:lpwstr>_Toc488927970</vt:lpwstr>
      </vt:variant>
      <vt:variant>
        <vt:i4>1507383</vt:i4>
      </vt:variant>
      <vt:variant>
        <vt:i4>278</vt:i4>
      </vt:variant>
      <vt:variant>
        <vt:i4>0</vt:i4>
      </vt:variant>
      <vt:variant>
        <vt:i4>5</vt:i4>
      </vt:variant>
      <vt:variant>
        <vt:lpwstr/>
      </vt:variant>
      <vt:variant>
        <vt:lpwstr>_Toc488927969</vt:lpwstr>
      </vt:variant>
      <vt:variant>
        <vt:i4>1507383</vt:i4>
      </vt:variant>
      <vt:variant>
        <vt:i4>272</vt:i4>
      </vt:variant>
      <vt:variant>
        <vt:i4>0</vt:i4>
      </vt:variant>
      <vt:variant>
        <vt:i4>5</vt:i4>
      </vt:variant>
      <vt:variant>
        <vt:lpwstr/>
      </vt:variant>
      <vt:variant>
        <vt:lpwstr>_Toc488927968</vt:lpwstr>
      </vt:variant>
      <vt:variant>
        <vt:i4>1507383</vt:i4>
      </vt:variant>
      <vt:variant>
        <vt:i4>266</vt:i4>
      </vt:variant>
      <vt:variant>
        <vt:i4>0</vt:i4>
      </vt:variant>
      <vt:variant>
        <vt:i4>5</vt:i4>
      </vt:variant>
      <vt:variant>
        <vt:lpwstr/>
      </vt:variant>
      <vt:variant>
        <vt:lpwstr>_Toc488927967</vt:lpwstr>
      </vt:variant>
      <vt:variant>
        <vt:i4>1507383</vt:i4>
      </vt:variant>
      <vt:variant>
        <vt:i4>260</vt:i4>
      </vt:variant>
      <vt:variant>
        <vt:i4>0</vt:i4>
      </vt:variant>
      <vt:variant>
        <vt:i4>5</vt:i4>
      </vt:variant>
      <vt:variant>
        <vt:lpwstr/>
      </vt:variant>
      <vt:variant>
        <vt:lpwstr>_Toc488927966</vt:lpwstr>
      </vt:variant>
      <vt:variant>
        <vt:i4>1507383</vt:i4>
      </vt:variant>
      <vt:variant>
        <vt:i4>254</vt:i4>
      </vt:variant>
      <vt:variant>
        <vt:i4>0</vt:i4>
      </vt:variant>
      <vt:variant>
        <vt:i4>5</vt:i4>
      </vt:variant>
      <vt:variant>
        <vt:lpwstr/>
      </vt:variant>
      <vt:variant>
        <vt:lpwstr>_Toc488927965</vt:lpwstr>
      </vt:variant>
      <vt:variant>
        <vt:i4>1507383</vt:i4>
      </vt:variant>
      <vt:variant>
        <vt:i4>248</vt:i4>
      </vt:variant>
      <vt:variant>
        <vt:i4>0</vt:i4>
      </vt:variant>
      <vt:variant>
        <vt:i4>5</vt:i4>
      </vt:variant>
      <vt:variant>
        <vt:lpwstr/>
      </vt:variant>
      <vt:variant>
        <vt:lpwstr>_Toc488927964</vt:lpwstr>
      </vt:variant>
      <vt:variant>
        <vt:i4>1507383</vt:i4>
      </vt:variant>
      <vt:variant>
        <vt:i4>242</vt:i4>
      </vt:variant>
      <vt:variant>
        <vt:i4>0</vt:i4>
      </vt:variant>
      <vt:variant>
        <vt:i4>5</vt:i4>
      </vt:variant>
      <vt:variant>
        <vt:lpwstr/>
      </vt:variant>
      <vt:variant>
        <vt:lpwstr>_Toc488927963</vt:lpwstr>
      </vt:variant>
      <vt:variant>
        <vt:i4>1507383</vt:i4>
      </vt:variant>
      <vt:variant>
        <vt:i4>236</vt:i4>
      </vt:variant>
      <vt:variant>
        <vt:i4>0</vt:i4>
      </vt:variant>
      <vt:variant>
        <vt:i4>5</vt:i4>
      </vt:variant>
      <vt:variant>
        <vt:lpwstr/>
      </vt:variant>
      <vt:variant>
        <vt:lpwstr>_Toc488927962</vt:lpwstr>
      </vt:variant>
      <vt:variant>
        <vt:i4>1507383</vt:i4>
      </vt:variant>
      <vt:variant>
        <vt:i4>230</vt:i4>
      </vt:variant>
      <vt:variant>
        <vt:i4>0</vt:i4>
      </vt:variant>
      <vt:variant>
        <vt:i4>5</vt:i4>
      </vt:variant>
      <vt:variant>
        <vt:lpwstr/>
      </vt:variant>
      <vt:variant>
        <vt:lpwstr>_Toc488927961</vt:lpwstr>
      </vt:variant>
      <vt:variant>
        <vt:i4>1507383</vt:i4>
      </vt:variant>
      <vt:variant>
        <vt:i4>224</vt:i4>
      </vt:variant>
      <vt:variant>
        <vt:i4>0</vt:i4>
      </vt:variant>
      <vt:variant>
        <vt:i4>5</vt:i4>
      </vt:variant>
      <vt:variant>
        <vt:lpwstr/>
      </vt:variant>
      <vt:variant>
        <vt:lpwstr>_Toc488927960</vt:lpwstr>
      </vt:variant>
      <vt:variant>
        <vt:i4>1310775</vt:i4>
      </vt:variant>
      <vt:variant>
        <vt:i4>218</vt:i4>
      </vt:variant>
      <vt:variant>
        <vt:i4>0</vt:i4>
      </vt:variant>
      <vt:variant>
        <vt:i4>5</vt:i4>
      </vt:variant>
      <vt:variant>
        <vt:lpwstr/>
      </vt:variant>
      <vt:variant>
        <vt:lpwstr>_Toc488927959</vt:lpwstr>
      </vt:variant>
      <vt:variant>
        <vt:i4>1310775</vt:i4>
      </vt:variant>
      <vt:variant>
        <vt:i4>212</vt:i4>
      </vt:variant>
      <vt:variant>
        <vt:i4>0</vt:i4>
      </vt:variant>
      <vt:variant>
        <vt:i4>5</vt:i4>
      </vt:variant>
      <vt:variant>
        <vt:lpwstr/>
      </vt:variant>
      <vt:variant>
        <vt:lpwstr>_Toc488927958</vt:lpwstr>
      </vt:variant>
      <vt:variant>
        <vt:i4>1310775</vt:i4>
      </vt:variant>
      <vt:variant>
        <vt:i4>206</vt:i4>
      </vt:variant>
      <vt:variant>
        <vt:i4>0</vt:i4>
      </vt:variant>
      <vt:variant>
        <vt:i4>5</vt:i4>
      </vt:variant>
      <vt:variant>
        <vt:lpwstr/>
      </vt:variant>
      <vt:variant>
        <vt:lpwstr>_Toc488927957</vt:lpwstr>
      </vt:variant>
      <vt:variant>
        <vt:i4>1310775</vt:i4>
      </vt:variant>
      <vt:variant>
        <vt:i4>200</vt:i4>
      </vt:variant>
      <vt:variant>
        <vt:i4>0</vt:i4>
      </vt:variant>
      <vt:variant>
        <vt:i4>5</vt:i4>
      </vt:variant>
      <vt:variant>
        <vt:lpwstr/>
      </vt:variant>
      <vt:variant>
        <vt:lpwstr>_Toc488927956</vt:lpwstr>
      </vt:variant>
      <vt:variant>
        <vt:i4>1310775</vt:i4>
      </vt:variant>
      <vt:variant>
        <vt:i4>194</vt:i4>
      </vt:variant>
      <vt:variant>
        <vt:i4>0</vt:i4>
      </vt:variant>
      <vt:variant>
        <vt:i4>5</vt:i4>
      </vt:variant>
      <vt:variant>
        <vt:lpwstr/>
      </vt:variant>
      <vt:variant>
        <vt:lpwstr>_Toc488927955</vt:lpwstr>
      </vt:variant>
      <vt:variant>
        <vt:i4>1310775</vt:i4>
      </vt:variant>
      <vt:variant>
        <vt:i4>188</vt:i4>
      </vt:variant>
      <vt:variant>
        <vt:i4>0</vt:i4>
      </vt:variant>
      <vt:variant>
        <vt:i4>5</vt:i4>
      </vt:variant>
      <vt:variant>
        <vt:lpwstr/>
      </vt:variant>
      <vt:variant>
        <vt:lpwstr>_Toc488927954</vt:lpwstr>
      </vt:variant>
      <vt:variant>
        <vt:i4>1310775</vt:i4>
      </vt:variant>
      <vt:variant>
        <vt:i4>182</vt:i4>
      </vt:variant>
      <vt:variant>
        <vt:i4>0</vt:i4>
      </vt:variant>
      <vt:variant>
        <vt:i4>5</vt:i4>
      </vt:variant>
      <vt:variant>
        <vt:lpwstr/>
      </vt:variant>
      <vt:variant>
        <vt:lpwstr>_Toc488927953</vt:lpwstr>
      </vt:variant>
      <vt:variant>
        <vt:i4>1310775</vt:i4>
      </vt:variant>
      <vt:variant>
        <vt:i4>176</vt:i4>
      </vt:variant>
      <vt:variant>
        <vt:i4>0</vt:i4>
      </vt:variant>
      <vt:variant>
        <vt:i4>5</vt:i4>
      </vt:variant>
      <vt:variant>
        <vt:lpwstr/>
      </vt:variant>
      <vt:variant>
        <vt:lpwstr>_Toc488927952</vt:lpwstr>
      </vt:variant>
      <vt:variant>
        <vt:i4>1310775</vt:i4>
      </vt:variant>
      <vt:variant>
        <vt:i4>170</vt:i4>
      </vt:variant>
      <vt:variant>
        <vt:i4>0</vt:i4>
      </vt:variant>
      <vt:variant>
        <vt:i4>5</vt:i4>
      </vt:variant>
      <vt:variant>
        <vt:lpwstr/>
      </vt:variant>
      <vt:variant>
        <vt:lpwstr>_Toc488927951</vt:lpwstr>
      </vt:variant>
      <vt:variant>
        <vt:i4>1310775</vt:i4>
      </vt:variant>
      <vt:variant>
        <vt:i4>164</vt:i4>
      </vt:variant>
      <vt:variant>
        <vt:i4>0</vt:i4>
      </vt:variant>
      <vt:variant>
        <vt:i4>5</vt:i4>
      </vt:variant>
      <vt:variant>
        <vt:lpwstr/>
      </vt:variant>
      <vt:variant>
        <vt:lpwstr>_Toc488927950</vt:lpwstr>
      </vt:variant>
      <vt:variant>
        <vt:i4>1376311</vt:i4>
      </vt:variant>
      <vt:variant>
        <vt:i4>158</vt:i4>
      </vt:variant>
      <vt:variant>
        <vt:i4>0</vt:i4>
      </vt:variant>
      <vt:variant>
        <vt:i4>5</vt:i4>
      </vt:variant>
      <vt:variant>
        <vt:lpwstr/>
      </vt:variant>
      <vt:variant>
        <vt:lpwstr>_Toc488927949</vt:lpwstr>
      </vt:variant>
      <vt:variant>
        <vt:i4>1376311</vt:i4>
      </vt:variant>
      <vt:variant>
        <vt:i4>152</vt:i4>
      </vt:variant>
      <vt:variant>
        <vt:i4>0</vt:i4>
      </vt:variant>
      <vt:variant>
        <vt:i4>5</vt:i4>
      </vt:variant>
      <vt:variant>
        <vt:lpwstr/>
      </vt:variant>
      <vt:variant>
        <vt:lpwstr>_Toc488927948</vt:lpwstr>
      </vt:variant>
      <vt:variant>
        <vt:i4>1376311</vt:i4>
      </vt:variant>
      <vt:variant>
        <vt:i4>146</vt:i4>
      </vt:variant>
      <vt:variant>
        <vt:i4>0</vt:i4>
      </vt:variant>
      <vt:variant>
        <vt:i4>5</vt:i4>
      </vt:variant>
      <vt:variant>
        <vt:lpwstr/>
      </vt:variant>
      <vt:variant>
        <vt:lpwstr>_Toc488927947</vt:lpwstr>
      </vt:variant>
      <vt:variant>
        <vt:i4>1376311</vt:i4>
      </vt:variant>
      <vt:variant>
        <vt:i4>140</vt:i4>
      </vt:variant>
      <vt:variant>
        <vt:i4>0</vt:i4>
      </vt:variant>
      <vt:variant>
        <vt:i4>5</vt:i4>
      </vt:variant>
      <vt:variant>
        <vt:lpwstr/>
      </vt:variant>
      <vt:variant>
        <vt:lpwstr>_Toc488927946</vt:lpwstr>
      </vt:variant>
      <vt:variant>
        <vt:i4>1376311</vt:i4>
      </vt:variant>
      <vt:variant>
        <vt:i4>134</vt:i4>
      </vt:variant>
      <vt:variant>
        <vt:i4>0</vt:i4>
      </vt:variant>
      <vt:variant>
        <vt:i4>5</vt:i4>
      </vt:variant>
      <vt:variant>
        <vt:lpwstr/>
      </vt:variant>
      <vt:variant>
        <vt:lpwstr>_Toc488927945</vt:lpwstr>
      </vt:variant>
      <vt:variant>
        <vt:i4>1376311</vt:i4>
      </vt:variant>
      <vt:variant>
        <vt:i4>128</vt:i4>
      </vt:variant>
      <vt:variant>
        <vt:i4>0</vt:i4>
      </vt:variant>
      <vt:variant>
        <vt:i4>5</vt:i4>
      </vt:variant>
      <vt:variant>
        <vt:lpwstr/>
      </vt:variant>
      <vt:variant>
        <vt:lpwstr>_Toc488927944</vt:lpwstr>
      </vt:variant>
      <vt:variant>
        <vt:i4>1376311</vt:i4>
      </vt:variant>
      <vt:variant>
        <vt:i4>122</vt:i4>
      </vt:variant>
      <vt:variant>
        <vt:i4>0</vt:i4>
      </vt:variant>
      <vt:variant>
        <vt:i4>5</vt:i4>
      </vt:variant>
      <vt:variant>
        <vt:lpwstr/>
      </vt:variant>
      <vt:variant>
        <vt:lpwstr>_Toc488927943</vt:lpwstr>
      </vt:variant>
      <vt:variant>
        <vt:i4>1376311</vt:i4>
      </vt:variant>
      <vt:variant>
        <vt:i4>116</vt:i4>
      </vt:variant>
      <vt:variant>
        <vt:i4>0</vt:i4>
      </vt:variant>
      <vt:variant>
        <vt:i4>5</vt:i4>
      </vt:variant>
      <vt:variant>
        <vt:lpwstr/>
      </vt:variant>
      <vt:variant>
        <vt:lpwstr>_Toc488927942</vt:lpwstr>
      </vt:variant>
      <vt:variant>
        <vt:i4>1376311</vt:i4>
      </vt:variant>
      <vt:variant>
        <vt:i4>110</vt:i4>
      </vt:variant>
      <vt:variant>
        <vt:i4>0</vt:i4>
      </vt:variant>
      <vt:variant>
        <vt:i4>5</vt:i4>
      </vt:variant>
      <vt:variant>
        <vt:lpwstr/>
      </vt:variant>
      <vt:variant>
        <vt:lpwstr>_Toc488927941</vt:lpwstr>
      </vt:variant>
      <vt:variant>
        <vt:i4>1376311</vt:i4>
      </vt:variant>
      <vt:variant>
        <vt:i4>104</vt:i4>
      </vt:variant>
      <vt:variant>
        <vt:i4>0</vt:i4>
      </vt:variant>
      <vt:variant>
        <vt:i4>5</vt:i4>
      </vt:variant>
      <vt:variant>
        <vt:lpwstr/>
      </vt:variant>
      <vt:variant>
        <vt:lpwstr>_Toc488927940</vt:lpwstr>
      </vt:variant>
      <vt:variant>
        <vt:i4>1179703</vt:i4>
      </vt:variant>
      <vt:variant>
        <vt:i4>98</vt:i4>
      </vt:variant>
      <vt:variant>
        <vt:i4>0</vt:i4>
      </vt:variant>
      <vt:variant>
        <vt:i4>5</vt:i4>
      </vt:variant>
      <vt:variant>
        <vt:lpwstr/>
      </vt:variant>
      <vt:variant>
        <vt:lpwstr>_Toc488927939</vt:lpwstr>
      </vt:variant>
      <vt:variant>
        <vt:i4>1179703</vt:i4>
      </vt:variant>
      <vt:variant>
        <vt:i4>92</vt:i4>
      </vt:variant>
      <vt:variant>
        <vt:i4>0</vt:i4>
      </vt:variant>
      <vt:variant>
        <vt:i4>5</vt:i4>
      </vt:variant>
      <vt:variant>
        <vt:lpwstr/>
      </vt:variant>
      <vt:variant>
        <vt:lpwstr>_Toc488927938</vt:lpwstr>
      </vt:variant>
      <vt:variant>
        <vt:i4>1179703</vt:i4>
      </vt:variant>
      <vt:variant>
        <vt:i4>86</vt:i4>
      </vt:variant>
      <vt:variant>
        <vt:i4>0</vt:i4>
      </vt:variant>
      <vt:variant>
        <vt:i4>5</vt:i4>
      </vt:variant>
      <vt:variant>
        <vt:lpwstr/>
      </vt:variant>
      <vt:variant>
        <vt:lpwstr>_Toc488927937</vt:lpwstr>
      </vt:variant>
      <vt:variant>
        <vt:i4>1179703</vt:i4>
      </vt:variant>
      <vt:variant>
        <vt:i4>80</vt:i4>
      </vt:variant>
      <vt:variant>
        <vt:i4>0</vt:i4>
      </vt:variant>
      <vt:variant>
        <vt:i4>5</vt:i4>
      </vt:variant>
      <vt:variant>
        <vt:lpwstr/>
      </vt:variant>
      <vt:variant>
        <vt:lpwstr>_Toc488927936</vt:lpwstr>
      </vt:variant>
      <vt:variant>
        <vt:i4>1179703</vt:i4>
      </vt:variant>
      <vt:variant>
        <vt:i4>74</vt:i4>
      </vt:variant>
      <vt:variant>
        <vt:i4>0</vt:i4>
      </vt:variant>
      <vt:variant>
        <vt:i4>5</vt:i4>
      </vt:variant>
      <vt:variant>
        <vt:lpwstr/>
      </vt:variant>
      <vt:variant>
        <vt:lpwstr>_Toc488927935</vt:lpwstr>
      </vt:variant>
      <vt:variant>
        <vt:i4>1179703</vt:i4>
      </vt:variant>
      <vt:variant>
        <vt:i4>68</vt:i4>
      </vt:variant>
      <vt:variant>
        <vt:i4>0</vt:i4>
      </vt:variant>
      <vt:variant>
        <vt:i4>5</vt:i4>
      </vt:variant>
      <vt:variant>
        <vt:lpwstr/>
      </vt:variant>
      <vt:variant>
        <vt:lpwstr>_Toc488927934</vt:lpwstr>
      </vt:variant>
      <vt:variant>
        <vt:i4>1179703</vt:i4>
      </vt:variant>
      <vt:variant>
        <vt:i4>62</vt:i4>
      </vt:variant>
      <vt:variant>
        <vt:i4>0</vt:i4>
      </vt:variant>
      <vt:variant>
        <vt:i4>5</vt:i4>
      </vt:variant>
      <vt:variant>
        <vt:lpwstr/>
      </vt:variant>
      <vt:variant>
        <vt:lpwstr>_Toc488927933</vt:lpwstr>
      </vt:variant>
      <vt:variant>
        <vt:i4>1179703</vt:i4>
      </vt:variant>
      <vt:variant>
        <vt:i4>56</vt:i4>
      </vt:variant>
      <vt:variant>
        <vt:i4>0</vt:i4>
      </vt:variant>
      <vt:variant>
        <vt:i4>5</vt:i4>
      </vt:variant>
      <vt:variant>
        <vt:lpwstr/>
      </vt:variant>
      <vt:variant>
        <vt:lpwstr>_Toc488927932</vt:lpwstr>
      </vt:variant>
      <vt:variant>
        <vt:i4>1179703</vt:i4>
      </vt:variant>
      <vt:variant>
        <vt:i4>50</vt:i4>
      </vt:variant>
      <vt:variant>
        <vt:i4>0</vt:i4>
      </vt:variant>
      <vt:variant>
        <vt:i4>5</vt:i4>
      </vt:variant>
      <vt:variant>
        <vt:lpwstr/>
      </vt:variant>
      <vt:variant>
        <vt:lpwstr>_Toc488927931</vt:lpwstr>
      </vt:variant>
      <vt:variant>
        <vt:i4>1179703</vt:i4>
      </vt:variant>
      <vt:variant>
        <vt:i4>44</vt:i4>
      </vt:variant>
      <vt:variant>
        <vt:i4>0</vt:i4>
      </vt:variant>
      <vt:variant>
        <vt:i4>5</vt:i4>
      </vt:variant>
      <vt:variant>
        <vt:lpwstr/>
      </vt:variant>
      <vt:variant>
        <vt:lpwstr>_Toc488927930</vt:lpwstr>
      </vt:variant>
      <vt:variant>
        <vt:i4>1245239</vt:i4>
      </vt:variant>
      <vt:variant>
        <vt:i4>38</vt:i4>
      </vt:variant>
      <vt:variant>
        <vt:i4>0</vt:i4>
      </vt:variant>
      <vt:variant>
        <vt:i4>5</vt:i4>
      </vt:variant>
      <vt:variant>
        <vt:lpwstr/>
      </vt:variant>
      <vt:variant>
        <vt:lpwstr>_Toc488927929</vt:lpwstr>
      </vt:variant>
      <vt:variant>
        <vt:i4>1245239</vt:i4>
      </vt:variant>
      <vt:variant>
        <vt:i4>32</vt:i4>
      </vt:variant>
      <vt:variant>
        <vt:i4>0</vt:i4>
      </vt:variant>
      <vt:variant>
        <vt:i4>5</vt:i4>
      </vt:variant>
      <vt:variant>
        <vt:lpwstr/>
      </vt:variant>
      <vt:variant>
        <vt:lpwstr>_Toc488927928</vt:lpwstr>
      </vt:variant>
      <vt:variant>
        <vt:i4>1245239</vt:i4>
      </vt:variant>
      <vt:variant>
        <vt:i4>26</vt:i4>
      </vt:variant>
      <vt:variant>
        <vt:i4>0</vt:i4>
      </vt:variant>
      <vt:variant>
        <vt:i4>5</vt:i4>
      </vt:variant>
      <vt:variant>
        <vt:lpwstr/>
      </vt:variant>
      <vt:variant>
        <vt:lpwstr>_Toc488927927</vt:lpwstr>
      </vt:variant>
      <vt:variant>
        <vt:i4>1245239</vt:i4>
      </vt:variant>
      <vt:variant>
        <vt:i4>20</vt:i4>
      </vt:variant>
      <vt:variant>
        <vt:i4>0</vt:i4>
      </vt:variant>
      <vt:variant>
        <vt:i4>5</vt:i4>
      </vt:variant>
      <vt:variant>
        <vt:lpwstr/>
      </vt:variant>
      <vt:variant>
        <vt:lpwstr>_Toc488927926</vt:lpwstr>
      </vt:variant>
      <vt:variant>
        <vt:i4>1245239</vt:i4>
      </vt:variant>
      <vt:variant>
        <vt:i4>14</vt:i4>
      </vt:variant>
      <vt:variant>
        <vt:i4>0</vt:i4>
      </vt:variant>
      <vt:variant>
        <vt:i4>5</vt:i4>
      </vt:variant>
      <vt:variant>
        <vt:lpwstr/>
      </vt:variant>
      <vt:variant>
        <vt:lpwstr>_Toc488927925</vt:lpwstr>
      </vt:variant>
      <vt:variant>
        <vt:i4>1245239</vt:i4>
      </vt:variant>
      <vt:variant>
        <vt:i4>8</vt:i4>
      </vt:variant>
      <vt:variant>
        <vt:i4>0</vt:i4>
      </vt:variant>
      <vt:variant>
        <vt:i4>5</vt:i4>
      </vt:variant>
      <vt:variant>
        <vt:lpwstr/>
      </vt:variant>
      <vt:variant>
        <vt:lpwstr>_Toc488927924</vt:lpwstr>
      </vt:variant>
      <vt:variant>
        <vt:i4>1245239</vt:i4>
      </vt:variant>
      <vt:variant>
        <vt:i4>2</vt:i4>
      </vt:variant>
      <vt:variant>
        <vt:i4>0</vt:i4>
      </vt:variant>
      <vt:variant>
        <vt:i4>5</vt:i4>
      </vt:variant>
      <vt:variant>
        <vt:lpwstr/>
      </vt:variant>
      <vt:variant>
        <vt:lpwstr>_Toc488927923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Leistungsverzeichnis 21" LCD-Monitore</dc:title>
  <dc:subject>Leistungsverzeichnis 21" LCD-Monitore</dc:subject>
  <dc:creator>Dipl.-Ing. Wolfgang Kölble</dc:creator>
  <cp:lastModifiedBy>Hahn Ulrich</cp:lastModifiedBy>
  <cp:revision>23</cp:revision>
  <cp:lastPrinted>2023-01-25T09:04:00Z</cp:lastPrinted>
  <dcterms:created xsi:type="dcterms:W3CDTF">2026-08-14T13:20:00Z</dcterms:created>
  <dcterms:modified xsi:type="dcterms:W3CDTF">2026-08-19T14:43:00Z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-1692322344</vt:i4>
  </property>
</Properties>
</file>